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1F38C" w14:textId="77777777" w:rsidR="00814851" w:rsidRPr="00814851" w:rsidRDefault="00814851" w:rsidP="00344585">
      <w:pPr>
        <w:rPr>
          <w:rFonts w:cs="Arial"/>
          <w:b/>
          <w:szCs w:val="20"/>
        </w:rPr>
      </w:pPr>
      <w:r w:rsidRPr="000D34B7">
        <w:rPr>
          <w:rFonts w:cs="Arial"/>
          <w:b/>
          <w:szCs w:val="20"/>
          <w:highlight w:val="darkGreen"/>
        </w:rPr>
        <w:t>Pagina 1</w:t>
      </w:r>
    </w:p>
    <w:p w14:paraId="24D936C0" w14:textId="77777777" w:rsidR="00814851" w:rsidRDefault="00814851" w:rsidP="00344585"/>
    <w:p w14:paraId="3C162503" w14:textId="77777777" w:rsidR="00814851" w:rsidRDefault="00814851" w:rsidP="00344585">
      <w:r w:rsidRPr="00814851">
        <w:rPr>
          <w:highlight w:val="lightGray"/>
        </w:rPr>
        <w:t>|header|</w:t>
      </w:r>
    </w:p>
    <w:p w14:paraId="3896C5F2" w14:textId="77777777" w:rsidR="00572116" w:rsidRDefault="00572116" w:rsidP="00344585">
      <w:r w:rsidRPr="00572116">
        <w:t>Kwartaalcijfers Stichting Waarborgfonds Eigen Woningen</w:t>
      </w:r>
    </w:p>
    <w:p w14:paraId="0B34B74C" w14:textId="77777777" w:rsidR="003F28E8" w:rsidRDefault="00F8426F" w:rsidP="000D34B7">
      <w:pPr>
        <w:jc w:val="right"/>
      </w:pPr>
      <w:r>
        <w:rPr>
          <w:vertAlign w:val="superscript"/>
        </w:rPr>
        <w:t>4</w:t>
      </w:r>
      <w:r w:rsidR="003F28E8" w:rsidRPr="003F28E8">
        <w:rPr>
          <w:vertAlign w:val="superscript"/>
        </w:rPr>
        <w:t>e</w:t>
      </w:r>
      <w:r w:rsidR="003F28E8">
        <w:t xml:space="preserve"> Kwartaal 201</w:t>
      </w:r>
      <w:r w:rsidR="007535B9">
        <w:t>6</w:t>
      </w:r>
    </w:p>
    <w:p w14:paraId="0068A50C" w14:textId="19AAE517" w:rsidR="003F28E8" w:rsidRPr="00572116" w:rsidRDefault="004026F7" w:rsidP="000D34B7">
      <w:pPr>
        <w:jc w:val="right"/>
      </w:pPr>
      <w:r w:rsidRPr="00814851">
        <w:t xml:space="preserve">Peildatum </w:t>
      </w:r>
      <w:r w:rsidR="001E61EA">
        <w:rPr>
          <w:highlight w:val="yellow"/>
        </w:rPr>
        <w:t>2</w:t>
      </w:r>
      <w:r w:rsidR="00F8426F" w:rsidRPr="00F8426F">
        <w:rPr>
          <w:highlight w:val="yellow"/>
        </w:rPr>
        <w:t xml:space="preserve"> januari</w:t>
      </w:r>
      <w:r w:rsidR="00F8426F">
        <w:t xml:space="preserve"> </w:t>
      </w:r>
      <w:r w:rsidR="003F28E8" w:rsidRPr="00814851">
        <w:t>201</w:t>
      </w:r>
      <w:r w:rsidR="0012038C">
        <w:t>7</w:t>
      </w:r>
    </w:p>
    <w:p w14:paraId="499066F2" w14:textId="77777777" w:rsidR="00814851" w:rsidRPr="00814851" w:rsidRDefault="00814851" w:rsidP="00814851">
      <w:pPr>
        <w:autoSpaceDE w:val="0"/>
        <w:autoSpaceDN w:val="0"/>
        <w:adjustRightInd w:val="0"/>
        <w:rPr>
          <w:rFonts w:ascii="DRIWF P+ Scala Sans" w:hAnsi="DRIWF P+ Scala Sans" w:cs="DRIWF P+ Scala Sans"/>
          <w:color w:val="000000"/>
          <w:sz w:val="24"/>
        </w:rPr>
      </w:pPr>
    </w:p>
    <w:p w14:paraId="43CA247D" w14:textId="77777777" w:rsidR="00814851" w:rsidRDefault="00814851" w:rsidP="00344585">
      <w:pPr>
        <w:rPr>
          <w:rFonts w:ascii="DRIWF P+ Scala Sans" w:hAnsi="DRIWF P+ Scala Sans" w:cs="DRIWF P+ Scala Sans"/>
          <w:i/>
          <w:iCs/>
          <w:color w:val="000000"/>
          <w:sz w:val="16"/>
          <w:szCs w:val="16"/>
        </w:rPr>
      </w:pPr>
      <w:r w:rsidRPr="00814851">
        <w:rPr>
          <w:rFonts w:ascii="DRIWF P+ Scala Sans" w:hAnsi="DRIWF P+ Scala Sans" w:cs="DRIWF P+ Scala Sans"/>
          <w:i/>
          <w:iCs/>
          <w:color w:val="000000"/>
          <w:sz w:val="16"/>
          <w:szCs w:val="16"/>
        </w:rPr>
        <w:t>Disclaimer: Dit kwartaalbericht is gebaseerd op voorlopige cijfers van het WEW, zonder controle van de accountant.</w:t>
      </w:r>
    </w:p>
    <w:p w14:paraId="75572C2E" w14:textId="577A1756" w:rsidR="000D34B7" w:rsidRPr="000D34B7" w:rsidRDefault="000965E8" w:rsidP="00344585">
      <w:pPr>
        <w:rPr>
          <w:b/>
          <w:szCs w:val="20"/>
          <w:highlight w:val="lightGray"/>
        </w:rPr>
      </w:pPr>
      <w:r>
        <w:rPr>
          <w:rFonts w:ascii="DRIWF P+ Scala Sans" w:hAnsi="DRIWF P+ Scala Sans" w:cs="DRIWF P+ Scala Sans"/>
          <w:b/>
          <w:iCs/>
          <w:color w:val="000000"/>
          <w:szCs w:val="20"/>
        </w:rPr>
        <w:t xml:space="preserve">HUIZENKOPERS BLIJVEN KIEZEN VOOR </w:t>
      </w:r>
      <w:r w:rsidR="00CA45C1">
        <w:rPr>
          <w:rFonts w:ascii="DRIWF P+ Scala Sans" w:hAnsi="DRIWF P+ Scala Sans" w:cs="DRIWF P+ Scala Sans"/>
          <w:b/>
          <w:iCs/>
          <w:color w:val="000000"/>
          <w:szCs w:val="20"/>
        </w:rPr>
        <w:t xml:space="preserve">EEN </w:t>
      </w:r>
      <w:r>
        <w:rPr>
          <w:rFonts w:ascii="DRIWF P+ Scala Sans" w:hAnsi="DRIWF P+ Scala Sans" w:cs="DRIWF P+ Scala Sans"/>
          <w:b/>
          <w:iCs/>
          <w:color w:val="000000"/>
          <w:szCs w:val="20"/>
        </w:rPr>
        <w:t>VERANTWOORDE HYPOTHEEK</w:t>
      </w:r>
      <w:r w:rsidR="004A255B">
        <w:rPr>
          <w:rFonts w:ascii="DRIWF P+ Scala Sans" w:hAnsi="DRIWF P+ Scala Sans" w:cs="DRIWF P+ Scala Sans"/>
          <w:b/>
          <w:iCs/>
          <w:color w:val="000000"/>
          <w:szCs w:val="20"/>
        </w:rPr>
        <w:t xml:space="preserve"> MET NHG</w:t>
      </w:r>
    </w:p>
    <w:p w14:paraId="2C46E5B6" w14:textId="77777777" w:rsidR="000965E8" w:rsidRDefault="000965E8" w:rsidP="004026F7">
      <w:pPr>
        <w:rPr>
          <w:rFonts w:cs="Arial"/>
          <w:szCs w:val="20"/>
          <w:highlight w:val="lightGray"/>
        </w:rPr>
      </w:pPr>
    </w:p>
    <w:p w14:paraId="36E73A7B" w14:textId="77777777" w:rsidR="004C6ED3" w:rsidRDefault="004026F7" w:rsidP="004026F7">
      <w:pPr>
        <w:rPr>
          <w:rFonts w:cs="Arial"/>
          <w:szCs w:val="20"/>
          <w:highlight w:val="lightGray"/>
        </w:rPr>
      </w:pPr>
      <w:r w:rsidRPr="006D3D33">
        <w:rPr>
          <w:rFonts w:cs="Arial"/>
          <w:szCs w:val="20"/>
          <w:highlight w:val="lightGray"/>
        </w:rPr>
        <w:t>[</w:t>
      </w:r>
      <w:r w:rsidR="00D13795">
        <w:rPr>
          <w:rFonts w:cs="Arial"/>
          <w:szCs w:val="20"/>
          <w:highlight w:val="lightGray"/>
        </w:rPr>
        <w:t xml:space="preserve">max </w:t>
      </w:r>
      <w:r w:rsidRPr="006D3D33">
        <w:rPr>
          <w:rFonts w:cs="Arial"/>
          <w:szCs w:val="20"/>
          <w:highlight w:val="lightGray"/>
        </w:rPr>
        <w:t>1</w:t>
      </w:r>
      <w:r w:rsidR="00797F39">
        <w:rPr>
          <w:rFonts w:cs="Arial"/>
          <w:szCs w:val="20"/>
          <w:highlight w:val="lightGray"/>
        </w:rPr>
        <w:t>00</w:t>
      </w:r>
      <w:r w:rsidRPr="006D3D33">
        <w:rPr>
          <w:rFonts w:cs="Arial"/>
          <w:szCs w:val="20"/>
          <w:highlight w:val="lightGray"/>
        </w:rPr>
        <w:t xml:space="preserve"> woorden]</w:t>
      </w:r>
    </w:p>
    <w:p w14:paraId="5FBB3F79" w14:textId="77777777" w:rsidR="004C6ED3" w:rsidRDefault="004C6ED3" w:rsidP="004026F7">
      <w:pPr>
        <w:rPr>
          <w:rFonts w:cs="Arial"/>
          <w:szCs w:val="20"/>
          <w:highlight w:val="lightGray"/>
        </w:rPr>
      </w:pPr>
    </w:p>
    <w:p w14:paraId="5A0C8818" w14:textId="77777777" w:rsidR="0012038C" w:rsidRPr="0012038C" w:rsidRDefault="0012038C" w:rsidP="0012038C">
      <w:pPr>
        <w:rPr>
          <w:rFonts w:cs="Arial"/>
          <w:szCs w:val="20"/>
        </w:rPr>
      </w:pPr>
      <w:r w:rsidRPr="0012038C">
        <w:rPr>
          <w:rFonts w:cs="Arial"/>
          <w:szCs w:val="20"/>
        </w:rPr>
        <w:t>In het 4e kwartaal van 2016 hebben 31.200 huishoudens de aankoop of verbetering van hun woning</w:t>
      </w:r>
    </w:p>
    <w:p w14:paraId="4B6CB6C5" w14:textId="38DC8769" w:rsidR="0012038C" w:rsidRPr="0012038C" w:rsidRDefault="0012038C" w:rsidP="0012038C">
      <w:pPr>
        <w:rPr>
          <w:rFonts w:cs="Arial"/>
          <w:szCs w:val="20"/>
        </w:rPr>
      </w:pPr>
      <w:r w:rsidRPr="0012038C">
        <w:rPr>
          <w:rFonts w:cs="Arial"/>
          <w:szCs w:val="20"/>
        </w:rPr>
        <w:t>gefinancierd met de Nationale Hypotheek Garantie (NHG). In dezelfde periode deden 80</w:t>
      </w:r>
      <w:r>
        <w:rPr>
          <w:rFonts w:cs="Arial"/>
          <w:szCs w:val="20"/>
        </w:rPr>
        <w:t xml:space="preserve">2 huishoudens </w:t>
      </w:r>
      <w:r w:rsidRPr="0012038C">
        <w:rPr>
          <w:rFonts w:cs="Arial"/>
          <w:szCs w:val="20"/>
        </w:rPr>
        <w:t>een beroep op NHG, omdat zij hun woning met verlies moesten verkope</w:t>
      </w:r>
      <w:r>
        <w:rPr>
          <w:rFonts w:cs="Arial"/>
          <w:szCs w:val="20"/>
        </w:rPr>
        <w:t xml:space="preserve">n. De instroom van garanties in </w:t>
      </w:r>
      <w:r w:rsidRPr="0012038C">
        <w:rPr>
          <w:rFonts w:cs="Arial"/>
          <w:szCs w:val="20"/>
        </w:rPr>
        <w:t>combinatie met een daling van verliesdeclaraties heeft geleid tot een st</w:t>
      </w:r>
      <w:r>
        <w:rPr>
          <w:rFonts w:cs="Arial"/>
          <w:szCs w:val="20"/>
        </w:rPr>
        <w:t xml:space="preserve">ijging van het vermogen van het </w:t>
      </w:r>
      <w:r w:rsidRPr="0012038C">
        <w:rPr>
          <w:rFonts w:cs="Arial"/>
          <w:szCs w:val="20"/>
        </w:rPr>
        <w:t>waarborgfonds naar € 966 miljoen.</w:t>
      </w:r>
    </w:p>
    <w:p w14:paraId="7F43948B" w14:textId="77777777" w:rsidR="0012038C" w:rsidRDefault="0012038C" w:rsidP="0012038C">
      <w:pPr>
        <w:rPr>
          <w:rFonts w:cs="Arial"/>
          <w:szCs w:val="20"/>
        </w:rPr>
      </w:pPr>
    </w:p>
    <w:p w14:paraId="5FBD6EF3" w14:textId="7D06F8CD" w:rsidR="002055B4" w:rsidRPr="00567C53" w:rsidRDefault="0012038C" w:rsidP="0012038C">
      <w:pPr>
        <w:rPr>
          <w:rFonts w:cs="Arial"/>
          <w:szCs w:val="20"/>
        </w:rPr>
      </w:pPr>
      <w:r w:rsidRPr="0012038C">
        <w:rPr>
          <w:rFonts w:cs="Arial"/>
          <w:szCs w:val="20"/>
        </w:rPr>
        <w:t>Een aanhoudend populaire NHG, met voldoende instroom, biedt het Waa</w:t>
      </w:r>
      <w:r>
        <w:rPr>
          <w:rFonts w:cs="Arial"/>
          <w:szCs w:val="20"/>
        </w:rPr>
        <w:t xml:space="preserve">rborgfonds Eigen Woningen (WEW) </w:t>
      </w:r>
      <w:r w:rsidRPr="0012038C">
        <w:rPr>
          <w:rFonts w:cs="Arial"/>
          <w:szCs w:val="20"/>
        </w:rPr>
        <w:t>de noodzakelijke basis om in de woningmarkt specifieke oplossingen te bieden.</w:t>
      </w:r>
      <w:r>
        <w:rPr>
          <w:rFonts w:cs="Arial"/>
          <w:szCs w:val="20"/>
        </w:rPr>
        <w:t xml:space="preserve"> Bijvoorbeeld voor doelgroepen, </w:t>
      </w:r>
      <w:r w:rsidRPr="0012038C">
        <w:rPr>
          <w:rFonts w:cs="Arial"/>
          <w:szCs w:val="20"/>
        </w:rPr>
        <w:t xml:space="preserve">zoals </w:t>
      </w:r>
      <w:proofErr w:type="spellStart"/>
      <w:r w:rsidRPr="0012038C">
        <w:rPr>
          <w:rFonts w:cs="Arial"/>
          <w:szCs w:val="20"/>
        </w:rPr>
        <w:t>zzp'ers</w:t>
      </w:r>
      <w:proofErr w:type="spellEnd"/>
      <w:r w:rsidRPr="0012038C">
        <w:rPr>
          <w:rFonts w:cs="Arial"/>
          <w:szCs w:val="20"/>
        </w:rPr>
        <w:t xml:space="preserve"> en starters. Daarnaast denkt het WEW mee over oplossingen voor</w:t>
      </w:r>
      <w:r>
        <w:rPr>
          <w:rFonts w:cs="Arial"/>
          <w:szCs w:val="20"/>
        </w:rPr>
        <w:t xml:space="preserve"> maatschappelijke issues, zoals </w:t>
      </w:r>
      <w:r w:rsidRPr="0012038C">
        <w:rPr>
          <w:rFonts w:cs="Arial"/>
          <w:szCs w:val="20"/>
        </w:rPr>
        <w:t>krimpregio's en funderingsproblemen.</w:t>
      </w:r>
    </w:p>
    <w:p w14:paraId="51639705" w14:textId="77777777" w:rsidR="007535B9" w:rsidRDefault="007535B9" w:rsidP="007535B9">
      <w:pPr>
        <w:rPr>
          <w:rFonts w:cs="Arial"/>
          <w:b/>
          <w:szCs w:val="20"/>
        </w:rPr>
      </w:pPr>
    </w:p>
    <w:p w14:paraId="74A56BF6" w14:textId="0F83CF2E" w:rsidR="004C6ED3" w:rsidRPr="007535B9" w:rsidRDefault="004C6ED3" w:rsidP="007535B9">
      <w:pPr>
        <w:rPr>
          <w:rFonts w:eastAsiaTheme="majorEastAsia" w:cs="Arial"/>
          <w:b/>
          <w:bCs/>
          <w:szCs w:val="20"/>
        </w:rPr>
      </w:pPr>
      <w:r w:rsidRPr="007535B9">
        <w:rPr>
          <w:rFonts w:cs="Arial"/>
          <w:b/>
          <w:szCs w:val="20"/>
        </w:rPr>
        <w:t>ONTWIKKELINGEN GARANTIES</w:t>
      </w:r>
    </w:p>
    <w:p w14:paraId="092BB1B5" w14:textId="77777777" w:rsidR="004026F7" w:rsidRDefault="004026F7" w:rsidP="004026F7">
      <w:pPr>
        <w:rPr>
          <w:rFonts w:cs="Arial"/>
          <w:szCs w:val="20"/>
        </w:rPr>
      </w:pPr>
    </w:p>
    <w:p w14:paraId="6C4D319C" w14:textId="77777777" w:rsidR="0084743A" w:rsidRDefault="0094091A" w:rsidP="004026F7">
      <w:pPr>
        <w:rPr>
          <w:rFonts w:cs="Arial"/>
          <w:szCs w:val="20"/>
        </w:rPr>
      </w:pPr>
      <w:r>
        <w:rPr>
          <w:rFonts w:cs="Arial"/>
          <w:szCs w:val="20"/>
        </w:rPr>
        <w:t>LINKERKOLOM:</w:t>
      </w:r>
    </w:p>
    <w:p w14:paraId="68752B1A" w14:textId="77777777" w:rsidR="000D4F3D" w:rsidRDefault="0094091A" w:rsidP="004026F7">
      <w:pPr>
        <w:rPr>
          <w:rFonts w:cs="Arial"/>
          <w:b/>
          <w:szCs w:val="20"/>
        </w:rPr>
      </w:pPr>
      <w:r>
        <w:rPr>
          <w:rFonts w:cs="Arial"/>
          <w:szCs w:val="20"/>
        </w:rPr>
        <w:t xml:space="preserve"> </w:t>
      </w:r>
    </w:p>
    <w:p w14:paraId="720360FB" w14:textId="77777777" w:rsidR="0094091A" w:rsidRDefault="0094091A" w:rsidP="00DF5DDD">
      <w:pPr>
        <w:rPr>
          <w:rFonts w:cs="Arial"/>
          <w:szCs w:val="20"/>
        </w:rPr>
      </w:pPr>
      <w:r w:rsidRPr="0094091A">
        <w:rPr>
          <w:rFonts w:cs="Arial"/>
          <w:szCs w:val="20"/>
          <w:highlight w:val="lightGray"/>
        </w:rPr>
        <w:t>[</w:t>
      </w:r>
      <w:r w:rsidR="004C6ED3">
        <w:rPr>
          <w:rFonts w:cs="Arial"/>
          <w:szCs w:val="20"/>
          <w:highlight w:val="lightGray"/>
        </w:rPr>
        <w:t>tabel</w:t>
      </w:r>
      <w:r>
        <w:rPr>
          <w:rFonts w:cs="Arial"/>
          <w:szCs w:val="20"/>
          <w:highlight w:val="lightGray"/>
        </w:rPr>
        <w:t xml:space="preserve">, </w:t>
      </w:r>
      <w:r w:rsidR="004A255B">
        <w:rPr>
          <w:rFonts w:cs="Arial"/>
          <w:szCs w:val="20"/>
          <w:highlight w:val="lightGray"/>
        </w:rPr>
        <w:t>80</w:t>
      </w:r>
      <w:r w:rsidRPr="0094091A">
        <w:rPr>
          <w:rFonts w:cs="Arial"/>
          <w:szCs w:val="20"/>
          <w:highlight w:val="lightGray"/>
        </w:rPr>
        <w:t xml:space="preserve"> woorden]</w:t>
      </w:r>
    </w:p>
    <w:p w14:paraId="62FFA058" w14:textId="77777777" w:rsidR="0012038C" w:rsidRDefault="0012038C" w:rsidP="00DF5DDD">
      <w:pPr>
        <w:rPr>
          <w:rFonts w:cs="Arial"/>
          <w:szCs w:val="20"/>
        </w:rPr>
      </w:pPr>
    </w:p>
    <w:tbl>
      <w:tblPr>
        <w:tblW w:w="7720" w:type="dxa"/>
        <w:tblCellMar>
          <w:left w:w="70" w:type="dxa"/>
          <w:right w:w="70" w:type="dxa"/>
        </w:tblCellMar>
        <w:tblLook w:val="04A0" w:firstRow="1" w:lastRow="0" w:firstColumn="1" w:lastColumn="0" w:noHBand="0" w:noVBand="1"/>
      </w:tblPr>
      <w:tblGrid>
        <w:gridCol w:w="3160"/>
        <w:gridCol w:w="1140"/>
        <w:gridCol w:w="1140"/>
        <w:gridCol w:w="1140"/>
        <w:gridCol w:w="1140"/>
      </w:tblGrid>
      <w:tr w:rsidR="0012038C" w:rsidRPr="0012038C" w14:paraId="097DD72A" w14:textId="77777777" w:rsidTr="0012038C">
        <w:trPr>
          <w:trHeight w:val="240"/>
        </w:trPr>
        <w:tc>
          <w:tcPr>
            <w:tcW w:w="3160" w:type="dxa"/>
            <w:tcBorders>
              <w:top w:val="nil"/>
              <w:left w:val="nil"/>
              <w:bottom w:val="nil"/>
              <w:right w:val="nil"/>
            </w:tcBorders>
            <w:shd w:val="clear" w:color="auto" w:fill="auto"/>
            <w:noWrap/>
            <w:vAlign w:val="bottom"/>
            <w:hideMark/>
          </w:tcPr>
          <w:p w14:paraId="5BD69EDF" w14:textId="77777777" w:rsidR="0012038C" w:rsidRPr="0012038C" w:rsidRDefault="0012038C" w:rsidP="0012038C">
            <w:pPr>
              <w:rPr>
                <w:rFonts w:cs="Arial"/>
                <w:b/>
                <w:bCs/>
                <w:szCs w:val="20"/>
              </w:rPr>
            </w:pPr>
            <w:r w:rsidRPr="0012038C">
              <w:rPr>
                <w:rFonts w:cs="Arial"/>
                <w:b/>
                <w:bCs/>
                <w:szCs w:val="20"/>
              </w:rPr>
              <w:t>Garanties</w:t>
            </w:r>
          </w:p>
        </w:tc>
        <w:tc>
          <w:tcPr>
            <w:tcW w:w="1140" w:type="dxa"/>
            <w:tcBorders>
              <w:top w:val="nil"/>
              <w:left w:val="nil"/>
              <w:bottom w:val="nil"/>
              <w:right w:val="nil"/>
            </w:tcBorders>
            <w:shd w:val="clear" w:color="auto" w:fill="auto"/>
            <w:noWrap/>
            <w:vAlign w:val="bottom"/>
            <w:hideMark/>
          </w:tcPr>
          <w:p w14:paraId="5399C0E1" w14:textId="77777777" w:rsidR="0012038C" w:rsidRPr="0012038C" w:rsidRDefault="0012038C" w:rsidP="0012038C">
            <w:pPr>
              <w:rPr>
                <w:rFonts w:cs="Arial"/>
                <w:b/>
                <w:bCs/>
                <w:szCs w:val="20"/>
              </w:rPr>
            </w:pPr>
          </w:p>
        </w:tc>
        <w:tc>
          <w:tcPr>
            <w:tcW w:w="1140" w:type="dxa"/>
            <w:tcBorders>
              <w:top w:val="nil"/>
              <w:left w:val="nil"/>
              <w:bottom w:val="nil"/>
              <w:right w:val="nil"/>
            </w:tcBorders>
            <w:shd w:val="clear" w:color="auto" w:fill="auto"/>
            <w:noWrap/>
            <w:vAlign w:val="bottom"/>
            <w:hideMark/>
          </w:tcPr>
          <w:p w14:paraId="4C8958D8" w14:textId="77777777" w:rsidR="0012038C" w:rsidRPr="0012038C" w:rsidRDefault="0012038C" w:rsidP="0012038C">
            <w:pPr>
              <w:jc w:val="center"/>
              <w:rPr>
                <w:rFonts w:ascii="Times New Roman" w:hAnsi="Times New Roman"/>
                <w:szCs w:val="20"/>
              </w:rPr>
            </w:pPr>
          </w:p>
        </w:tc>
        <w:tc>
          <w:tcPr>
            <w:tcW w:w="1140" w:type="dxa"/>
            <w:tcBorders>
              <w:top w:val="nil"/>
              <w:left w:val="nil"/>
              <w:bottom w:val="nil"/>
              <w:right w:val="nil"/>
            </w:tcBorders>
            <w:shd w:val="clear" w:color="auto" w:fill="auto"/>
            <w:noWrap/>
            <w:vAlign w:val="bottom"/>
            <w:hideMark/>
          </w:tcPr>
          <w:p w14:paraId="4C223FE4" w14:textId="77777777" w:rsidR="0012038C" w:rsidRPr="0012038C" w:rsidRDefault="0012038C" w:rsidP="0012038C">
            <w:pPr>
              <w:rPr>
                <w:rFonts w:ascii="Times New Roman" w:hAnsi="Times New Roman"/>
                <w:szCs w:val="20"/>
              </w:rPr>
            </w:pPr>
          </w:p>
        </w:tc>
        <w:tc>
          <w:tcPr>
            <w:tcW w:w="1140" w:type="dxa"/>
            <w:tcBorders>
              <w:top w:val="nil"/>
              <w:left w:val="nil"/>
              <w:bottom w:val="nil"/>
              <w:right w:val="nil"/>
            </w:tcBorders>
            <w:shd w:val="clear" w:color="auto" w:fill="auto"/>
            <w:noWrap/>
            <w:vAlign w:val="bottom"/>
            <w:hideMark/>
          </w:tcPr>
          <w:p w14:paraId="58F9FD78" w14:textId="77777777" w:rsidR="0012038C" w:rsidRPr="0012038C" w:rsidRDefault="0012038C" w:rsidP="0012038C">
            <w:pPr>
              <w:rPr>
                <w:rFonts w:ascii="Times New Roman" w:hAnsi="Times New Roman"/>
                <w:szCs w:val="20"/>
              </w:rPr>
            </w:pPr>
          </w:p>
        </w:tc>
      </w:tr>
      <w:tr w:rsidR="0012038C" w:rsidRPr="0012038C" w14:paraId="503F840E" w14:textId="77777777" w:rsidTr="0012038C">
        <w:trPr>
          <w:trHeight w:val="240"/>
        </w:trPr>
        <w:tc>
          <w:tcPr>
            <w:tcW w:w="3160" w:type="dxa"/>
            <w:tcBorders>
              <w:top w:val="nil"/>
              <w:left w:val="nil"/>
              <w:bottom w:val="nil"/>
              <w:right w:val="nil"/>
            </w:tcBorders>
            <w:shd w:val="clear" w:color="auto" w:fill="auto"/>
            <w:noWrap/>
            <w:vAlign w:val="bottom"/>
            <w:hideMark/>
          </w:tcPr>
          <w:p w14:paraId="3BB40F52" w14:textId="77777777" w:rsidR="0012038C" w:rsidRPr="0012038C" w:rsidRDefault="0012038C" w:rsidP="0012038C">
            <w:pPr>
              <w:rPr>
                <w:rFonts w:ascii="Times New Roman" w:hAnsi="Times New Roman"/>
                <w:szCs w:val="20"/>
              </w:rPr>
            </w:pPr>
          </w:p>
        </w:tc>
        <w:tc>
          <w:tcPr>
            <w:tcW w:w="1140" w:type="dxa"/>
            <w:tcBorders>
              <w:top w:val="nil"/>
              <w:left w:val="nil"/>
              <w:bottom w:val="nil"/>
              <w:right w:val="nil"/>
            </w:tcBorders>
            <w:shd w:val="clear" w:color="auto" w:fill="auto"/>
            <w:noWrap/>
            <w:vAlign w:val="bottom"/>
            <w:hideMark/>
          </w:tcPr>
          <w:p w14:paraId="05BC84F3" w14:textId="77777777" w:rsidR="0012038C" w:rsidRPr="0012038C" w:rsidRDefault="0012038C" w:rsidP="0012038C">
            <w:pPr>
              <w:jc w:val="center"/>
              <w:rPr>
                <w:rFonts w:cs="Arial"/>
                <w:b/>
                <w:bCs/>
                <w:szCs w:val="20"/>
              </w:rPr>
            </w:pPr>
            <w:r w:rsidRPr="0012038C">
              <w:rPr>
                <w:rFonts w:cs="Arial"/>
                <w:b/>
                <w:bCs/>
                <w:szCs w:val="20"/>
              </w:rPr>
              <w:t xml:space="preserve">4e kwartaal </w:t>
            </w:r>
          </w:p>
        </w:tc>
        <w:tc>
          <w:tcPr>
            <w:tcW w:w="1140" w:type="dxa"/>
            <w:tcBorders>
              <w:top w:val="nil"/>
              <w:left w:val="nil"/>
              <w:bottom w:val="nil"/>
              <w:right w:val="nil"/>
            </w:tcBorders>
            <w:shd w:val="clear" w:color="auto" w:fill="auto"/>
            <w:noWrap/>
            <w:vAlign w:val="bottom"/>
            <w:hideMark/>
          </w:tcPr>
          <w:p w14:paraId="2C450EAF" w14:textId="77777777" w:rsidR="0012038C" w:rsidRPr="0012038C" w:rsidRDefault="0012038C" w:rsidP="0012038C">
            <w:pPr>
              <w:jc w:val="center"/>
              <w:rPr>
                <w:rFonts w:cs="Arial"/>
                <w:b/>
                <w:bCs/>
                <w:szCs w:val="20"/>
              </w:rPr>
            </w:pPr>
          </w:p>
        </w:tc>
        <w:tc>
          <w:tcPr>
            <w:tcW w:w="1140" w:type="dxa"/>
            <w:tcBorders>
              <w:top w:val="nil"/>
              <w:left w:val="nil"/>
              <w:bottom w:val="nil"/>
              <w:right w:val="nil"/>
            </w:tcBorders>
            <w:shd w:val="clear" w:color="auto" w:fill="auto"/>
            <w:noWrap/>
            <w:vAlign w:val="bottom"/>
            <w:hideMark/>
          </w:tcPr>
          <w:p w14:paraId="70511016" w14:textId="77777777" w:rsidR="0012038C" w:rsidRPr="0012038C" w:rsidRDefault="0012038C" w:rsidP="0012038C">
            <w:pPr>
              <w:jc w:val="center"/>
              <w:rPr>
                <w:rFonts w:cs="Arial"/>
                <w:b/>
                <w:bCs/>
                <w:color w:val="000000"/>
                <w:szCs w:val="20"/>
              </w:rPr>
            </w:pPr>
            <w:r w:rsidRPr="0012038C">
              <w:rPr>
                <w:rFonts w:cs="Arial"/>
                <w:b/>
                <w:bCs/>
                <w:color w:val="000000"/>
                <w:szCs w:val="20"/>
              </w:rPr>
              <w:t>Jaar</w:t>
            </w:r>
          </w:p>
        </w:tc>
        <w:tc>
          <w:tcPr>
            <w:tcW w:w="1140" w:type="dxa"/>
            <w:tcBorders>
              <w:top w:val="nil"/>
              <w:left w:val="nil"/>
              <w:bottom w:val="nil"/>
              <w:right w:val="nil"/>
            </w:tcBorders>
            <w:shd w:val="clear" w:color="auto" w:fill="auto"/>
            <w:noWrap/>
            <w:vAlign w:val="bottom"/>
            <w:hideMark/>
          </w:tcPr>
          <w:p w14:paraId="70E304E4" w14:textId="77777777" w:rsidR="0012038C" w:rsidRPr="0012038C" w:rsidRDefault="0012038C" w:rsidP="0012038C">
            <w:pPr>
              <w:jc w:val="center"/>
              <w:rPr>
                <w:rFonts w:cs="Arial"/>
                <w:b/>
                <w:bCs/>
                <w:color w:val="000000"/>
                <w:szCs w:val="20"/>
              </w:rPr>
            </w:pPr>
          </w:p>
        </w:tc>
      </w:tr>
      <w:tr w:rsidR="0012038C" w:rsidRPr="0012038C" w14:paraId="65A01B54" w14:textId="77777777" w:rsidTr="0012038C">
        <w:trPr>
          <w:trHeight w:val="240"/>
        </w:trPr>
        <w:tc>
          <w:tcPr>
            <w:tcW w:w="3160" w:type="dxa"/>
            <w:tcBorders>
              <w:top w:val="nil"/>
              <w:left w:val="nil"/>
              <w:bottom w:val="nil"/>
              <w:right w:val="nil"/>
            </w:tcBorders>
            <w:shd w:val="clear" w:color="auto" w:fill="auto"/>
            <w:vAlign w:val="center"/>
            <w:hideMark/>
          </w:tcPr>
          <w:p w14:paraId="2FB9F636" w14:textId="77777777" w:rsidR="0012038C" w:rsidRPr="0012038C" w:rsidRDefault="0012038C" w:rsidP="0012038C">
            <w:pPr>
              <w:rPr>
                <w:rFonts w:cs="Arial"/>
                <w:szCs w:val="20"/>
              </w:rPr>
            </w:pPr>
            <w:r w:rsidRPr="0012038C">
              <w:rPr>
                <w:rFonts w:cs="Arial"/>
                <w:szCs w:val="20"/>
              </w:rPr>
              <w:t>Aantal afgerond op 100-tallen</w:t>
            </w:r>
          </w:p>
        </w:tc>
        <w:tc>
          <w:tcPr>
            <w:tcW w:w="1140" w:type="dxa"/>
            <w:tcBorders>
              <w:top w:val="nil"/>
              <w:left w:val="nil"/>
              <w:bottom w:val="nil"/>
              <w:right w:val="nil"/>
            </w:tcBorders>
            <w:shd w:val="clear" w:color="auto" w:fill="auto"/>
            <w:vAlign w:val="bottom"/>
            <w:hideMark/>
          </w:tcPr>
          <w:p w14:paraId="0C274964" w14:textId="77777777" w:rsidR="0012038C" w:rsidRPr="0012038C" w:rsidRDefault="0012038C" w:rsidP="0012038C">
            <w:pPr>
              <w:jc w:val="right"/>
              <w:rPr>
                <w:rFonts w:cs="Arial"/>
                <w:b/>
                <w:bCs/>
                <w:szCs w:val="20"/>
              </w:rPr>
            </w:pPr>
            <w:r w:rsidRPr="0012038C">
              <w:rPr>
                <w:rFonts w:cs="Arial"/>
                <w:b/>
                <w:bCs/>
                <w:szCs w:val="20"/>
              </w:rPr>
              <w:t>2016</w:t>
            </w:r>
          </w:p>
        </w:tc>
        <w:tc>
          <w:tcPr>
            <w:tcW w:w="1140" w:type="dxa"/>
            <w:tcBorders>
              <w:top w:val="nil"/>
              <w:left w:val="nil"/>
              <w:bottom w:val="nil"/>
              <w:right w:val="nil"/>
            </w:tcBorders>
            <w:shd w:val="clear" w:color="auto" w:fill="auto"/>
            <w:vAlign w:val="bottom"/>
            <w:hideMark/>
          </w:tcPr>
          <w:p w14:paraId="5A3737A6" w14:textId="77777777" w:rsidR="0012038C" w:rsidRPr="0012038C" w:rsidRDefault="0012038C" w:rsidP="0012038C">
            <w:pPr>
              <w:jc w:val="right"/>
              <w:rPr>
                <w:rFonts w:cs="Arial"/>
                <w:b/>
                <w:bCs/>
                <w:szCs w:val="20"/>
              </w:rPr>
            </w:pPr>
            <w:r w:rsidRPr="0012038C">
              <w:rPr>
                <w:rFonts w:cs="Arial"/>
                <w:b/>
                <w:bCs/>
                <w:szCs w:val="20"/>
              </w:rPr>
              <w:t>2015</w:t>
            </w:r>
          </w:p>
        </w:tc>
        <w:tc>
          <w:tcPr>
            <w:tcW w:w="1140" w:type="dxa"/>
            <w:tcBorders>
              <w:top w:val="nil"/>
              <w:left w:val="nil"/>
              <w:bottom w:val="nil"/>
              <w:right w:val="nil"/>
            </w:tcBorders>
            <w:shd w:val="clear" w:color="auto" w:fill="auto"/>
            <w:vAlign w:val="bottom"/>
            <w:hideMark/>
          </w:tcPr>
          <w:p w14:paraId="135ECF99" w14:textId="77777777" w:rsidR="0012038C" w:rsidRPr="0012038C" w:rsidRDefault="0012038C" w:rsidP="0012038C">
            <w:pPr>
              <w:jc w:val="right"/>
              <w:rPr>
                <w:rFonts w:cs="Arial"/>
                <w:b/>
                <w:bCs/>
                <w:szCs w:val="20"/>
              </w:rPr>
            </w:pPr>
            <w:r w:rsidRPr="0012038C">
              <w:rPr>
                <w:rFonts w:cs="Arial"/>
                <w:b/>
                <w:bCs/>
                <w:szCs w:val="20"/>
              </w:rPr>
              <w:t>2016</w:t>
            </w:r>
          </w:p>
        </w:tc>
        <w:tc>
          <w:tcPr>
            <w:tcW w:w="1140" w:type="dxa"/>
            <w:tcBorders>
              <w:top w:val="nil"/>
              <w:left w:val="nil"/>
              <w:bottom w:val="nil"/>
              <w:right w:val="nil"/>
            </w:tcBorders>
            <w:shd w:val="clear" w:color="auto" w:fill="auto"/>
            <w:vAlign w:val="bottom"/>
            <w:hideMark/>
          </w:tcPr>
          <w:p w14:paraId="374ED076" w14:textId="77777777" w:rsidR="0012038C" w:rsidRPr="0012038C" w:rsidRDefault="0012038C" w:rsidP="0012038C">
            <w:pPr>
              <w:jc w:val="right"/>
              <w:rPr>
                <w:rFonts w:cs="Arial"/>
                <w:b/>
                <w:bCs/>
                <w:szCs w:val="20"/>
              </w:rPr>
            </w:pPr>
            <w:r w:rsidRPr="0012038C">
              <w:rPr>
                <w:rFonts w:cs="Arial"/>
                <w:b/>
                <w:bCs/>
                <w:szCs w:val="20"/>
              </w:rPr>
              <w:t>2015</w:t>
            </w:r>
          </w:p>
        </w:tc>
      </w:tr>
      <w:tr w:rsidR="0012038C" w:rsidRPr="0012038C" w14:paraId="1267C755" w14:textId="77777777" w:rsidTr="0012038C">
        <w:trPr>
          <w:trHeight w:val="240"/>
        </w:trPr>
        <w:tc>
          <w:tcPr>
            <w:tcW w:w="3160" w:type="dxa"/>
            <w:tcBorders>
              <w:top w:val="single" w:sz="4" w:space="0" w:color="auto"/>
              <w:left w:val="nil"/>
              <w:bottom w:val="nil"/>
              <w:right w:val="nil"/>
            </w:tcBorders>
            <w:shd w:val="clear" w:color="auto" w:fill="auto"/>
            <w:vAlign w:val="center"/>
            <w:hideMark/>
          </w:tcPr>
          <w:p w14:paraId="4A4544E6" w14:textId="77777777" w:rsidR="0012038C" w:rsidRPr="0012038C" w:rsidRDefault="0012038C" w:rsidP="0012038C">
            <w:pPr>
              <w:rPr>
                <w:rFonts w:cs="Arial"/>
                <w:b/>
                <w:bCs/>
                <w:szCs w:val="20"/>
              </w:rPr>
            </w:pPr>
            <w:r w:rsidRPr="0012038C">
              <w:rPr>
                <w:rFonts w:cs="Arial"/>
                <w:b/>
                <w:bCs/>
                <w:szCs w:val="20"/>
              </w:rPr>
              <w:t>NHG totaal</w:t>
            </w:r>
          </w:p>
        </w:tc>
        <w:tc>
          <w:tcPr>
            <w:tcW w:w="1140" w:type="dxa"/>
            <w:tcBorders>
              <w:top w:val="single" w:sz="4" w:space="0" w:color="auto"/>
              <w:left w:val="nil"/>
              <w:bottom w:val="nil"/>
              <w:right w:val="nil"/>
            </w:tcBorders>
            <w:shd w:val="clear" w:color="auto" w:fill="auto"/>
            <w:noWrap/>
            <w:vAlign w:val="center"/>
            <w:hideMark/>
          </w:tcPr>
          <w:p w14:paraId="5E710E29" w14:textId="77777777" w:rsidR="0012038C" w:rsidRPr="0012038C" w:rsidRDefault="0012038C" w:rsidP="0012038C">
            <w:pPr>
              <w:jc w:val="right"/>
              <w:rPr>
                <w:rFonts w:cs="Arial"/>
                <w:szCs w:val="20"/>
              </w:rPr>
            </w:pPr>
            <w:r w:rsidRPr="0012038C">
              <w:rPr>
                <w:rFonts w:cs="Arial"/>
                <w:szCs w:val="20"/>
              </w:rPr>
              <w:t>31.200</w:t>
            </w:r>
          </w:p>
        </w:tc>
        <w:tc>
          <w:tcPr>
            <w:tcW w:w="1140" w:type="dxa"/>
            <w:tcBorders>
              <w:top w:val="single" w:sz="4" w:space="0" w:color="auto"/>
              <w:left w:val="nil"/>
              <w:bottom w:val="nil"/>
              <w:right w:val="nil"/>
            </w:tcBorders>
            <w:shd w:val="clear" w:color="auto" w:fill="auto"/>
            <w:noWrap/>
            <w:vAlign w:val="center"/>
            <w:hideMark/>
          </w:tcPr>
          <w:p w14:paraId="3239163C" w14:textId="77777777" w:rsidR="0012038C" w:rsidRPr="0012038C" w:rsidRDefault="0012038C" w:rsidP="0012038C">
            <w:pPr>
              <w:jc w:val="right"/>
              <w:rPr>
                <w:rFonts w:cs="Arial"/>
                <w:szCs w:val="20"/>
              </w:rPr>
            </w:pPr>
            <w:r w:rsidRPr="0012038C">
              <w:rPr>
                <w:rFonts w:cs="Arial"/>
                <w:szCs w:val="20"/>
              </w:rPr>
              <w:t>37.800</w:t>
            </w:r>
          </w:p>
        </w:tc>
        <w:tc>
          <w:tcPr>
            <w:tcW w:w="1140" w:type="dxa"/>
            <w:tcBorders>
              <w:top w:val="single" w:sz="4" w:space="0" w:color="auto"/>
              <w:left w:val="nil"/>
              <w:bottom w:val="nil"/>
              <w:right w:val="nil"/>
            </w:tcBorders>
            <w:shd w:val="clear" w:color="auto" w:fill="auto"/>
            <w:noWrap/>
            <w:vAlign w:val="center"/>
            <w:hideMark/>
          </w:tcPr>
          <w:p w14:paraId="5316BF62" w14:textId="77777777" w:rsidR="0012038C" w:rsidRPr="0012038C" w:rsidRDefault="0012038C" w:rsidP="0012038C">
            <w:pPr>
              <w:jc w:val="right"/>
              <w:rPr>
                <w:rFonts w:cs="Arial"/>
                <w:szCs w:val="20"/>
              </w:rPr>
            </w:pPr>
            <w:r w:rsidRPr="0012038C">
              <w:rPr>
                <w:rFonts w:cs="Arial"/>
                <w:szCs w:val="20"/>
              </w:rPr>
              <w:t>118.700</w:t>
            </w:r>
          </w:p>
        </w:tc>
        <w:tc>
          <w:tcPr>
            <w:tcW w:w="1140" w:type="dxa"/>
            <w:tcBorders>
              <w:top w:val="single" w:sz="4" w:space="0" w:color="auto"/>
              <w:left w:val="nil"/>
              <w:bottom w:val="nil"/>
              <w:right w:val="nil"/>
            </w:tcBorders>
            <w:shd w:val="clear" w:color="auto" w:fill="auto"/>
            <w:vAlign w:val="center"/>
            <w:hideMark/>
          </w:tcPr>
          <w:p w14:paraId="2AB8E64C" w14:textId="77777777" w:rsidR="0012038C" w:rsidRPr="0012038C" w:rsidRDefault="0012038C" w:rsidP="0012038C">
            <w:pPr>
              <w:jc w:val="right"/>
              <w:rPr>
                <w:rFonts w:cs="Arial"/>
                <w:szCs w:val="20"/>
              </w:rPr>
            </w:pPr>
            <w:r w:rsidRPr="0012038C">
              <w:rPr>
                <w:rFonts w:cs="Arial"/>
                <w:szCs w:val="20"/>
              </w:rPr>
              <w:t>135.400</w:t>
            </w:r>
          </w:p>
        </w:tc>
      </w:tr>
      <w:tr w:rsidR="0012038C" w:rsidRPr="0012038C" w14:paraId="328D0E0F" w14:textId="77777777" w:rsidTr="0012038C">
        <w:trPr>
          <w:trHeight w:val="240"/>
        </w:trPr>
        <w:tc>
          <w:tcPr>
            <w:tcW w:w="3160" w:type="dxa"/>
            <w:tcBorders>
              <w:top w:val="nil"/>
              <w:left w:val="nil"/>
              <w:bottom w:val="nil"/>
              <w:right w:val="nil"/>
            </w:tcBorders>
            <w:shd w:val="clear" w:color="auto" w:fill="auto"/>
            <w:vAlign w:val="center"/>
            <w:hideMark/>
          </w:tcPr>
          <w:p w14:paraId="3256B390" w14:textId="77777777" w:rsidR="0012038C" w:rsidRPr="0012038C" w:rsidRDefault="0012038C" w:rsidP="0012038C">
            <w:pPr>
              <w:jc w:val="right"/>
              <w:rPr>
                <w:rFonts w:cs="Arial"/>
                <w:szCs w:val="20"/>
              </w:rPr>
            </w:pPr>
          </w:p>
        </w:tc>
        <w:tc>
          <w:tcPr>
            <w:tcW w:w="1140" w:type="dxa"/>
            <w:tcBorders>
              <w:top w:val="nil"/>
              <w:left w:val="nil"/>
              <w:bottom w:val="nil"/>
              <w:right w:val="nil"/>
            </w:tcBorders>
            <w:shd w:val="clear" w:color="auto" w:fill="auto"/>
            <w:noWrap/>
            <w:vAlign w:val="center"/>
            <w:hideMark/>
          </w:tcPr>
          <w:p w14:paraId="4333712E" w14:textId="77777777" w:rsidR="0012038C" w:rsidRPr="0012038C" w:rsidRDefault="0012038C" w:rsidP="0012038C">
            <w:pPr>
              <w:rPr>
                <w:rFonts w:ascii="Times New Roman" w:hAnsi="Times New Roman"/>
                <w:szCs w:val="20"/>
              </w:rPr>
            </w:pPr>
          </w:p>
        </w:tc>
        <w:tc>
          <w:tcPr>
            <w:tcW w:w="1140" w:type="dxa"/>
            <w:tcBorders>
              <w:top w:val="nil"/>
              <w:left w:val="nil"/>
              <w:bottom w:val="nil"/>
              <w:right w:val="nil"/>
            </w:tcBorders>
            <w:shd w:val="clear" w:color="auto" w:fill="auto"/>
            <w:noWrap/>
            <w:vAlign w:val="center"/>
            <w:hideMark/>
          </w:tcPr>
          <w:p w14:paraId="2789D1B2" w14:textId="77777777" w:rsidR="0012038C" w:rsidRPr="0012038C" w:rsidRDefault="0012038C" w:rsidP="0012038C">
            <w:pPr>
              <w:rPr>
                <w:rFonts w:ascii="Times New Roman" w:hAnsi="Times New Roman"/>
                <w:szCs w:val="20"/>
              </w:rPr>
            </w:pPr>
          </w:p>
        </w:tc>
        <w:tc>
          <w:tcPr>
            <w:tcW w:w="1140" w:type="dxa"/>
            <w:tcBorders>
              <w:top w:val="nil"/>
              <w:left w:val="nil"/>
              <w:bottom w:val="nil"/>
              <w:right w:val="nil"/>
            </w:tcBorders>
            <w:shd w:val="clear" w:color="auto" w:fill="auto"/>
            <w:noWrap/>
            <w:vAlign w:val="center"/>
            <w:hideMark/>
          </w:tcPr>
          <w:p w14:paraId="6D3E674A" w14:textId="77777777" w:rsidR="0012038C" w:rsidRPr="0012038C" w:rsidRDefault="0012038C" w:rsidP="0012038C">
            <w:pPr>
              <w:rPr>
                <w:rFonts w:ascii="Times New Roman" w:hAnsi="Times New Roman"/>
                <w:szCs w:val="20"/>
              </w:rPr>
            </w:pPr>
          </w:p>
        </w:tc>
        <w:tc>
          <w:tcPr>
            <w:tcW w:w="1140" w:type="dxa"/>
            <w:tcBorders>
              <w:top w:val="nil"/>
              <w:left w:val="nil"/>
              <w:bottom w:val="nil"/>
              <w:right w:val="nil"/>
            </w:tcBorders>
            <w:shd w:val="clear" w:color="auto" w:fill="auto"/>
            <w:vAlign w:val="center"/>
            <w:hideMark/>
          </w:tcPr>
          <w:p w14:paraId="0E0D629E" w14:textId="77777777" w:rsidR="0012038C" w:rsidRPr="0012038C" w:rsidRDefault="0012038C" w:rsidP="0012038C">
            <w:pPr>
              <w:rPr>
                <w:rFonts w:ascii="Times New Roman" w:hAnsi="Times New Roman"/>
                <w:szCs w:val="20"/>
              </w:rPr>
            </w:pPr>
          </w:p>
        </w:tc>
      </w:tr>
      <w:tr w:rsidR="0012038C" w:rsidRPr="0012038C" w14:paraId="128DAFAA" w14:textId="77777777" w:rsidTr="0012038C">
        <w:trPr>
          <w:trHeight w:val="240"/>
        </w:trPr>
        <w:tc>
          <w:tcPr>
            <w:tcW w:w="3160" w:type="dxa"/>
            <w:tcBorders>
              <w:top w:val="nil"/>
              <w:left w:val="nil"/>
              <w:bottom w:val="nil"/>
              <w:right w:val="nil"/>
            </w:tcBorders>
            <w:shd w:val="clear" w:color="auto" w:fill="auto"/>
            <w:vAlign w:val="center"/>
            <w:hideMark/>
          </w:tcPr>
          <w:p w14:paraId="686113F0" w14:textId="77777777" w:rsidR="0012038C" w:rsidRPr="0012038C" w:rsidRDefault="0012038C" w:rsidP="0012038C">
            <w:pPr>
              <w:rPr>
                <w:rFonts w:cs="Arial"/>
                <w:b/>
                <w:bCs/>
                <w:szCs w:val="20"/>
              </w:rPr>
            </w:pPr>
            <w:r w:rsidRPr="0012038C">
              <w:rPr>
                <w:rFonts w:cs="Arial"/>
                <w:b/>
                <w:bCs/>
                <w:szCs w:val="20"/>
              </w:rPr>
              <w:t>NHG aankoop woning</w:t>
            </w:r>
          </w:p>
        </w:tc>
        <w:tc>
          <w:tcPr>
            <w:tcW w:w="1140" w:type="dxa"/>
            <w:tcBorders>
              <w:top w:val="nil"/>
              <w:left w:val="nil"/>
              <w:bottom w:val="nil"/>
              <w:right w:val="nil"/>
            </w:tcBorders>
            <w:shd w:val="clear" w:color="auto" w:fill="auto"/>
            <w:noWrap/>
            <w:vAlign w:val="center"/>
            <w:hideMark/>
          </w:tcPr>
          <w:p w14:paraId="6F46CAC2" w14:textId="77777777" w:rsidR="0012038C" w:rsidRPr="0012038C" w:rsidRDefault="0012038C" w:rsidP="0012038C">
            <w:pPr>
              <w:jc w:val="right"/>
              <w:rPr>
                <w:rFonts w:cs="Arial"/>
                <w:szCs w:val="20"/>
              </w:rPr>
            </w:pPr>
            <w:r w:rsidRPr="0012038C">
              <w:rPr>
                <w:rFonts w:cs="Arial"/>
                <w:szCs w:val="20"/>
              </w:rPr>
              <w:t>27.300</w:t>
            </w:r>
          </w:p>
        </w:tc>
        <w:tc>
          <w:tcPr>
            <w:tcW w:w="1140" w:type="dxa"/>
            <w:tcBorders>
              <w:top w:val="nil"/>
              <w:left w:val="nil"/>
              <w:bottom w:val="nil"/>
              <w:right w:val="nil"/>
            </w:tcBorders>
            <w:shd w:val="clear" w:color="auto" w:fill="auto"/>
            <w:noWrap/>
            <w:vAlign w:val="center"/>
            <w:hideMark/>
          </w:tcPr>
          <w:p w14:paraId="09DD55E3" w14:textId="77777777" w:rsidR="0012038C" w:rsidRPr="0012038C" w:rsidRDefault="0012038C" w:rsidP="0012038C">
            <w:pPr>
              <w:jc w:val="right"/>
              <w:rPr>
                <w:rFonts w:cs="Arial"/>
                <w:szCs w:val="20"/>
              </w:rPr>
            </w:pPr>
            <w:r w:rsidRPr="0012038C">
              <w:rPr>
                <w:rFonts w:cs="Arial"/>
                <w:szCs w:val="20"/>
              </w:rPr>
              <w:t>31.500</w:t>
            </w:r>
          </w:p>
        </w:tc>
        <w:tc>
          <w:tcPr>
            <w:tcW w:w="1140" w:type="dxa"/>
            <w:tcBorders>
              <w:top w:val="nil"/>
              <w:left w:val="nil"/>
              <w:bottom w:val="nil"/>
              <w:right w:val="nil"/>
            </w:tcBorders>
            <w:shd w:val="clear" w:color="auto" w:fill="auto"/>
            <w:noWrap/>
            <w:vAlign w:val="center"/>
            <w:hideMark/>
          </w:tcPr>
          <w:p w14:paraId="0B349E0A" w14:textId="77777777" w:rsidR="0012038C" w:rsidRPr="0012038C" w:rsidRDefault="0012038C" w:rsidP="0012038C">
            <w:pPr>
              <w:jc w:val="right"/>
              <w:rPr>
                <w:rFonts w:cs="Arial"/>
                <w:szCs w:val="20"/>
              </w:rPr>
            </w:pPr>
            <w:r w:rsidRPr="0012038C">
              <w:rPr>
                <w:rFonts w:cs="Arial"/>
                <w:szCs w:val="20"/>
              </w:rPr>
              <w:t>102.600</w:t>
            </w:r>
          </w:p>
        </w:tc>
        <w:tc>
          <w:tcPr>
            <w:tcW w:w="1140" w:type="dxa"/>
            <w:tcBorders>
              <w:top w:val="nil"/>
              <w:left w:val="nil"/>
              <w:bottom w:val="nil"/>
              <w:right w:val="nil"/>
            </w:tcBorders>
            <w:shd w:val="clear" w:color="auto" w:fill="auto"/>
            <w:vAlign w:val="center"/>
            <w:hideMark/>
          </w:tcPr>
          <w:p w14:paraId="7C9F9E6D" w14:textId="77777777" w:rsidR="0012038C" w:rsidRPr="0012038C" w:rsidRDefault="0012038C" w:rsidP="0012038C">
            <w:pPr>
              <w:jc w:val="right"/>
              <w:rPr>
                <w:rFonts w:cs="Arial"/>
                <w:szCs w:val="20"/>
              </w:rPr>
            </w:pPr>
            <w:r w:rsidRPr="0012038C">
              <w:rPr>
                <w:rFonts w:cs="Arial"/>
                <w:szCs w:val="20"/>
              </w:rPr>
              <w:t>113.600</w:t>
            </w:r>
          </w:p>
        </w:tc>
      </w:tr>
      <w:tr w:rsidR="0012038C" w:rsidRPr="0012038C" w14:paraId="77069925" w14:textId="77777777" w:rsidTr="0012038C">
        <w:trPr>
          <w:trHeight w:val="240"/>
        </w:trPr>
        <w:tc>
          <w:tcPr>
            <w:tcW w:w="3160" w:type="dxa"/>
            <w:tcBorders>
              <w:top w:val="nil"/>
              <w:left w:val="nil"/>
              <w:bottom w:val="nil"/>
              <w:right w:val="nil"/>
            </w:tcBorders>
            <w:shd w:val="clear" w:color="auto" w:fill="auto"/>
            <w:vAlign w:val="center"/>
            <w:hideMark/>
          </w:tcPr>
          <w:p w14:paraId="6098CE2B" w14:textId="77777777" w:rsidR="0012038C" w:rsidRPr="0012038C" w:rsidRDefault="0012038C" w:rsidP="0012038C">
            <w:pPr>
              <w:rPr>
                <w:rFonts w:cs="Arial"/>
                <w:b/>
                <w:bCs/>
                <w:szCs w:val="20"/>
              </w:rPr>
            </w:pPr>
            <w:r w:rsidRPr="0012038C">
              <w:rPr>
                <w:rFonts w:cs="Arial"/>
                <w:b/>
                <w:bCs/>
                <w:szCs w:val="20"/>
              </w:rPr>
              <w:t>NHG woningverbetering</w:t>
            </w:r>
          </w:p>
        </w:tc>
        <w:tc>
          <w:tcPr>
            <w:tcW w:w="1140" w:type="dxa"/>
            <w:tcBorders>
              <w:top w:val="nil"/>
              <w:left w:val="nil"/>
              <w:bottom w:val="nil"/>
              <w:right w:val="nil"/>
            </w:tcBorders>
            <w:shd w:val="clear" w:color="auto" w:fill="auto"/>
            <w:noWrap/>
            <w:vAlign w:val="center"/>
            <w:hideMark/>
          </w:tcPr>
          <w:p w14:paraId="612A376A" w14:textId="77777777" w:rsidR="0012038C" w:rsidRPr="0012038C" w:rsidRDefault="0012038C" w:rsidP="0012038C">
            <w:pPr>
              <w:jc w:val="right"/>
              <w:rPr>
                <w:rFonts w:cs="Arial"/>
                <w:szCs w:val="20"/>
              </w:rPr>
            </w:pPr>
            <w:r w:rsidRPr="0012038C">
              <w:rPr>
                <w:rFonts w:cs="Arial"/>
                <w:szCs w:val="20"/>
              </w:rPr>
              <w:t>3.500</w:t>
            </w:r>
          </w:p>
        </w:tc>
        <w:tc>
          <w:tcPr>
            <w:tcW w:w="1140" w:type="dxa"/>
            <w:tcBorders>
              <w:top w:val="nil"/>
              <w:left w:val="nil"/>
              <w:bottom w:val="nil"/>
              <w:right w:val="nil"/>
            </w:tcBorders>
            <w:shd w:val="clear" w:color="auto" w:fill="auto"/>
            <w:noWrap/>
            <w:vAlign w:val="center"/>
            <w:hideMark/>
          </w:tcPr>
          <w:p w14:paraId="2B9CB7A6" w14:textId="77777777" w:rsidR="0012038C" w:rsidRPr="0012038C" w:rsidRDefault="0012038C" w:rsidP="0012038C">
            <w:pPr>
              <w:jc w:val="right"/>
              <w:rPr>
                <w:rFonts w:cs="Arial"/>
                <w:szCs w:val="20"/>
              </w:rPr>
            </w:pPr>
            <w:r w:rsidRPr="0012038C">
              <w:rPr>
                <w:rFonts w:cs="Arial"/>
                <w:szCs w:val="20"/>
              </w:rPr>
              <w:t>5.600</w:t>
            </w:r>
          </w:p>
        </w:tc>
        <w:tc>
          <w:tcPr>
            <w:tcW w:w="1140" w:type="dxa"/>
            <w:tcBorders>
              <w:top w:val="nil"/>
              <w:left w:val="nil"/>
              <w:bottom w:val="nil"/>
              <w:right w:val="nil"/>
            </w:tcBorders>
            <w:shd w:val="clear" w:color="auto" w:fill="auto"/>
            <w:noWrap/>
            <w:vAlign w:val="center"/>
            <w:hideMark/>
          </w:tcPr>
          <w:p w14:paraId="363E227D" w14:textId="77777777" w:rsidR="0012038C" w:rsidRPr="0012038C" w:rsidRDefault="0012038C" w:rsidP="0012038C">
            <w:pPr>
              <w:jc w:val="right"/>
              <w:rPr>
                <w:rFonts w:cs="Arial"/>
                <w:szCs w:val="20"/>
              </w:rPr>
            </w:pPr>
            <w:r w:rsidRPr="0012038C">
              <w:rPr>
                <w:rFonts w:cs="Arial"/>
                <w:szCs w:val="20"/>
              </w:rPr>
              <w:t>14.400</w:t>
            </w:r>
          </w:p>
        </w:tc>
        <w:tc>
          <w:tcPr>
            <w:tcW w:w="1140" w:type="dxa"/>
            <w:tcBorders>
              <w:top w:val="nil"/>
              <w:left w:val="nil"/>
              <w:bottom w:val="nil"/>
              <w:right w:val="nil"/>
            </w:tcBorders>
            <w:shd w:val="clear" w:color="auto" w:fill="auto"/>
            <w:vAlign w:val="center"/>
            <w:hideMark/>
          </w:tcPr>
          <w:p w14:paraId="08BDDE52" w14:textId="77777777" w:rsidR="0012038C" w:rsidRPr="0012038C" w:rsidRDefault="0012038C" w:rsidP="0012038C">
            <w:pPr>
              <w:jc w:val="right"/>
              <w:rPr>
                <w:rFonts w:cs="Arial"/>
                <w:szCs w:val="20"/>
              </w:rPr>
            </w:pPr>
            <w:r w:rsidRPr="0012038C">
              <w:rPr>
                <w:rFonts w:cs="Arial"/>
                <w:szCs w:val="20"/>
              </w:rPr>
              <w:t>19.200</w:t>
            </w:r>
          </w:p>
        </w:tc>
      </w:tr>
      <w:tr w:rsidR="0012038C" w:rsidRPr="0012038C" w14:paraId="5123BC67" w14:textId="77777777" w:rsidTr="0012038C">
        <w:trPr>
          <w:trHeight w:val="240"/>
        </w:trPr>
        <w:tc>
          <w:tcPr>
            <w:tcW w:w="3160" w:type="dxa"/>
            <w:tcBorders>
              <w:top w:val="nil"/>
              <w:left w:val="nil"/>
              <w:bottom w:val="single" w:sz="4" w:space="0" w:color="auto"/>
              <w:right w:val="nil"/>
            </w:tcBorders>
            <w:shd w:val="clear" w:color="auto" w:fill="auto"/>
            <w:noWrap/>
            <w:vAlign w:val="bottom"/>
            <w:hideMark/>
          </w:tcPr>
          <w:p w14:paraId="532E2AD5" w14:textId="77777777" w:rsidR="0012038C" w:rsidRPr="0012038C" w:rsidRDefault="0012038C" w:rsidP="0012038C">
            <w:pPr>
              <w:rPr>
                <w:rFonts w:cs="Arial"/>
                <w:b/>
                <w:bCs/>
                <w:szCs w:val="20"/>
              </w:rPr>
            </w:pPr>
            <w:r w:rsidRPr="0012038C">
              <w:rPr>
                <w:rFonts w:cs="Arial"/>
                <w:b/>
                <w:bCs/>
                <w:szCs w:val="20"/>
              </w:rPr>
              <w:t xml:space="preserve">NHG overige </w:t>
            </w:r>
          </w:p>
        </w:tc>
        <w:tc>
          <w:tcPr>
            <w:tcW w:w="1140" w:type="dxa"/>
            <w:tcBorders>
              <w:top w:val="nil"/>
              <w:left w:val="nil"/>
              <w:bottom w:val="single" w:sz="4" w:space="0" w:color="auto"/>
              <w:right w:val="nil"/>
            </w:tcBorders>
            <w:shd w:val="clear" w:color="auto" w:fill="auto"/>
            <w:noWrap/>
            <w:vAlign w:val="bottom"/>
            <w:hideMark/>
          </w:tcPr>
          <w:p w14:paraId="2D2E1A1A" w14:textId="77777777" w:rsidR="0012038C" w:rsidRPr="0012038C" w:rsidRDefault="0012038C" w:rsidP="0012038C">
            <w:pPr>
              <w:jc w:val="right"/>
              <w:rPr>
                <w:rFonts w:cs="Arial"/>
                <w:szCs w:val="20"/>
              </w:rPr>
            </w:pPr>
            <w:r w:rsidRPr="0012038C">
              <w:rPr>
                <w:rFonts w:cs="Arial"/>
                <w:szCs w:val="20"/>
              </w:rPr>
              <w:t>400</w:t>
            </w:r>
          </w:p>
        </w:tc>
        <w:tc>
          <w:tcPr>
            <w:tcW w:w="1140" w:type="dxa"/>
            <w:tcBorders>
              <w:top w:val="nil"/>
              <w:left w:val="nil"/>
              <w:bottom w:val="single" w:sz="4" w:space="0" w:color="auto"/>
              <w:right w:val="nil"/>
            </w:tcBorders>
            <w:shd w:val="clear" w:color="auto" w:fill="auto"/>
            <w:noWrap/>
            <w:vAlign w:val="bottom"/>
            <w:hideMark/>
          </w:tcPr>
          <w:p w14:paraId="5CAC206D" w14:textId="77777777" w:rsidR="0012038C" w:rsidRPr="0012038C" w:rsidRDefault="0012038C" w:rsidP="0012038C">
            <w:pPr>
              <w:jc w:val="right"/>
              <w:rPr>
                <w:rFonts w:cs="Arial"/>
                <w:color w:val="000000"/>
                <w:szCs w:val="20"/>
              </w:rPr>
            </w:pPr>
            <w:r w:rsidRPr="0012038C">
              <w:rPr>
                <w:rFonts w:cs="Arial"/>
                <w:color w:val="000000"/>
                <w:szCs w:val="20"/>
              </w:rPr>
              <w:t>700</w:t>
            </w:r>
          </w:p>
        </w:tc>
        <w:tc>
          <w:tcPr>
            <w:tcW w:w="1140" w:type="dxa"/>
            <w:tcBorders>
              <w:top w:val="nil"/>
              <w:left w:val="nil"/>
              <w:bottom w:val="single" w:sz="4" w:space="0" w:color="auto"/>
              <w:right w:val="nil"/>
            </w:tcBorders>
            <w:shd w:val="clear" w:color="auto" w:fill="auto"/>
            <w:noWrap/>
            <w:vAlign w:val="bottom"/>
            <w:hideMark/>
          </w:tcPr>
          <w:p w14:paraId="5264CC4A" w14:textId="77777777" w:rsidR="0012038C" w:rsidRPr="0012038C" w:rsidRDefault="0012038C" w:rsidP="0012038C">
            <w:pPr>
              <w:jc w:val="right"/>
              <w:rPr>
                <w:rFonts w:cs="Arial"/>
                <w:color w:val="000000"/>
                <w:szCs w:val="20"/>
              </w:rPr>
            </w:pPr>
            <w:r w:rsidRPr="0012038C">
              <w:rPr>
                <w:rFonts w:cs="Arial"/>
                <w:color w:val="000000"/>
                <w:szCs w:val="20"/>
              </w:rPr>
              <w:t>1.700</w:t>
            </w:r>
          </w:p>
        </w:tc>
        <w:tc>
          <w:tcPr>
            <w:tcW w:w="1140" w:type="dxa"/>
            <w:tcBorders>
              <w:top w:val="nil"/>
              <w:left w:val="nil"/>
              <w:bottom w:val="single" w:sz="4" w:space="0" w:color="auto"/>
              <w:right w:val="nil"/>
            </w:tcBorders>
            <w:shd w:val="clear" w:color="auto" w:fill="auto"/>
            <w:noWrap/>
            <w:vAlign w:val="bottom"/>
            <w:hideMark/>
          </w:tcPr>
          <w:p w14:paraId="7FFE12CA" w14:textId="77777777" w:rsidR="0012038C" w:rsidRPr="0012038C" w:rsidRDefault="0012038C" w:rsidP="0012038C">
            <w:pPr>
              <w:jc w:val="right"/>
              <w:rPr>
                <w:rFonts w:cs="Arial"/>
                <w:szCs w:val="20"/>
              </w:rPr>
            </w:pPr>
            <w:r w:rsidRPr="0012038C">
              <w:rPr>
                <w:rFonts w:cs="Arial"/>
                <w:szCs w:val="20"/>
              </w:rPr>
              <w:t>2.600</w:t>
            </w:r>
          </w:p>
        </w:tc>
      </w:tr>
    </w:tbl>
    <w:p w14:paraId="06AC638A" w14:textId="51606C13" w:rsidR="00FE518F" w:rsidRDefault="00FE518F" w:rsidP="00DF5DDD">
      <w:pPr>
        <w:rPr>
          <w:rFonts w:cs="Arial"/>
          <w:szCs w:val="20"/>
        </w:rPr>
      </w:pPr>
    </w:p>
    <w:p w14:paraId="1E735D68" w14:textId="77777777" w:rsidR="00FE518F" w:rsidRDefault="00FE518F" w:rsidP="00DF5DDD">
      <w:pPr>
        <w:rPr>
          <w:rFonts w:cs="Arial"/>
          <w:szCs w:val="20"/>
        </w:rPr>
      </w:pPr>
    </w:p>
    <w:p w14:paraId="4AD32211" w14:textId="77777777" w:rsidR="007535B9" w:rsidRPr="00344327" w:rsidRDefault="00344327" w:rsidP="00DF5DDD">
      <w:pPr>
        <w:rPr>
          <w:rFonts w:cs="Arial"/>
          <w:b/>
          <w:szCs w:val="20"/>
        </w:rPr>
      </w:pPr>
      <w:r w:rsidRPr="00344327">
        <w:rPr>
          <w:rFonts w:cs="Arial"/>
          <w:b/>
          <w:szCs w:val="20"/>
        </w:rPr>
        <w:t>Minder hypotheken in aanmerking voor NHG</w:t>
      </w:r>
    </w:p>
    <w:p w14:paraId="374FE3A0" w14:textId="30051775" w:rsidR="00DF1910" w:rsidRPr="0012038C" w:rsidRDefault="0012038C" w:rsidP="0012038C">
      <w:pPr>
        <w:autoSpaceDE w:val="0"/>
        <w:autoSpaceDN w:val="0"/>
        <w:adjustRightInd w:val="0"/>
        <w:rPr>
          <w:rFonts w:ascii="ScalaSansPro-Regular" w:hAnsi="ScalaSansPro-Regular" w:cs="ScalaSansPro-Regular"/>
          <w:sz w:val="18"/>
          <w:szCs w:val="18"/>
        </w:rPr>
      </w:pPr>
      <w:r w:rsidRPr="0012038C">
        <w:t>In 2016 financierden in totaal 118.700 huishoudens de aankoop of verbouwing van hun woning met NHG. Dit is een daling van 12 procent ten opzichte van het voorgaande jaar. Een reden hiervoor is dat de NHG-kostengrens sinds de verlaging in juli 2015 constant is gebleven. Door de stijging van de huizenprijzen in het afgelopen jaar kwamen hierdoor minder hypotheken in aanmerking voor NHG. Met ingang van 1 januari 2017 wordt de kostengrens jaarlijks bepaald aan de hand van de gemiddelde koopsom, vermenigvuldigd met de wettelijk toegestane LTV. Dit biedt consumenten meer ruimte om hun woonwensen verantwoord te realiseren</w:t>
      </w:r>
      <w:r>
        <w:rPr>
          <w:rFonts w:ascii="ScalaSansPro-Regular" w:hAnsi="ScalaSansPro-Regular" w:cs="ScalaSansPro-Regular"/>
          <w:sz w:val="18"/>
          <w:szCs w:val="18"/>
        </w:rPr>
        <w:t>.</w:t>
      </w:r>
    </w:p>
    <w:p w14:paraId="0EDC41AD" w14:textId="77777777" w:rsidR="00CA383A" w:rsidRDefault="00CA383A">
      <w:pPr>
        <w:rPr>
          <w:rFonts w:cs="Arial"/>
          <w:b/>
          <w:szCs w:val="20"/>
          <w:u w:val="single"/>
        </w:rPr>
      </w:pPr>
      <w:r>
        <w:rPr>
          <w:rFonts w:cs="Arial"/>
          <w:b/>
          <w:szCs w:val="20"/>
          <w:u w:val="single"/>
        </w:rPr>
        <w:br w:type="page"/>
      </w:r>
    </w:p>
    <w:p w14:paraId="32D04771" w14:textId="77777777" w:rsidR="0094091A" w:rsidRPr="00466FDC" w:rsidRDefault="004026F7" w:rsidP="00466FDC">
      <w:pPr>
        <w:rPr>
          <w:rFonts w:cs="Arial"/>
          <w:b/>
          <w:szCs w:val="20"/>
          <w:u w:val="single"/>
        </w:rPr>
      </w:pPr>
      <w:r w:rsidRPr="0094091A">
        <w:rPr>
          <w:rFonts w:cs="Arial"/>
          <w:b/>
          <w:szCs w:val="20"/>
          <w:u w:val="single"/>
        </w:rPr>
        <w:lastRenderedPageBreak/>
        <w:t>Rechterkolom</w:t>
      </w:r>
      <w:r w:rsidRPr="0094091A">
        <w:rPr>
          <w:rFonts w:cs="Arial"/>
          <w:b/>
          <w:szCs w:val="20"/>
        </w:rPr>
        <w:t xml:space="preserve">: </w:t>
      </w:r>
    </w:p>
    <w:p w14:paraId="7B51795D" w14:textId="77777777" w:rsidR="00E50F87" w:rsidRDefault="0094091A" w:rsidP="0094091A">
      <w:pPr>
        <w:keepNext/>
        <w:keepLines/>
        <w:rPr>
          <w:rFonts w:cs="Arial"/>
          <w:szCs w:val="20"/>
        </w:rPr>
      </w:pPr>
      <w:r w:rsidRPr="0094091A">
        <w:rPr>
          <w:rFonts w:cs="Arial"/>
          <w:szCs w:val="20"/>
          <w:highlight w:val="lightGray"/>
        </w:rPr>
        <w:t>[Grafiek</w:t>
      </w:r>
      <w:r w:rsidR="004C6ED3">
        <w:rPr>
          <w:rFonts w:cs="Arial"/>
          <w:szCs w:val="20"/>
          <w:highlight w:val="lightGray"/>
        </w:rPr>
        <w:t>,</w:t>
      </w:r>
      <w:r w:rsidRPr="0094091A">
        <w:rPr>
          <w:rFonts w:cs="Arial"/>
          <w:szCs w:val="20"/>
          <w:highlight w:val="lightGray"/>
        </w:rPr>
        <w:t xml:space="preserve"> </w:t>
      </w:r>
      <w:r w:rsidR="00161DDF">
        <w:rPr>
          <w:rFonts w:cs="Arial"/>
          <w:szCs w:val="20"/>
          <w:highlight w:val="lightGray"/>
        </w:rPr>
        <w:t xml:space="preserve">75 </w:t>
      </w:r>
      <w:r w:rsidR="00E50F87" w:rsidRPr="0094091A">
        <w:rPr>
          <w:rFonts w:cs="Arial"/>
          <w:szCs w:val="20"/>
          <w:highlight w:val="lightGray"/>
        </w:rPr>
        <w:t>woorden]</w:t>
      </w:r>
    </w:p>
    <w:p w14:paraId="03B74383" w14:textId="77777777" w:rsidR="0012038C" w:rsidRDefault="0012038C" w:rsidP="0094091A">
      <w:pPr>
        <w:keepNext/>
        <w:keepLines/>
        <w:rPr>
          <w:rFonts w:cs="Arial"/>
          <w:szCs w:val="20"/>
        </w:rPr>
      </w:pPr>
    </w:p>
    <w:p w14:paraId="28A5AF84" w14:textId="774B13E5" w:rsidR="0012038C" w:rsidRPr="0012038C" w:rsidRDefault="0012038C" w:rsidP="0094091A">
      <w:pPr>
        <w:keepNext/>
        <w:keepLines/>
        <w:rPr>
          <w:rFonts w:cs="Arial"/>
          <w:b/>
          <w:szCs w:val="20"/>
        </w:rPr>
      </w:pPr>
      <w:r w:rsidRPr="0012038C">
        <w:rPr>
          <w:rFonts w:cs="Arial"/>
          <w:b/>
          <w:szCs w:val="20"/>
        </w:rPr>
        <w:t>Marktaandeel</w:t>
      </w:r>
    </w:p>
    <w:p w14:paraId="7FA9D147" w14:textId="77777777" w:rsidR="00A71C27" w:rsidRDefault="00A71C27" w:rsidP="0094091A">
      <w:pPr>
        <w:keepNext/>
        <w:keepLines/>
        <w:rPr>
          <w:rFonts w:cs="Arial"/>
          <w:szCs w:val="20"/>
        </w:rPr>
      </w:pPr>
    </w:p>
    <w:p w14:paraId="30CE9199" w14:textId="77777777" w:rsidR="00A71C27" w:rsidRDefault="00A71C27" w:rsidP="0094091A">
      <w:pPr>
        <w:keepNext/>
        <w:keepLines/>
        <w:rPr>
          <w:rFonts w:cs="Arial"/>
          <w:szCs w:val="20"/>
        </w:rPr>
      </w:pPr>
      <w:r>
        <w:rPr>
          <w:rFonts w:cs="Arial"/>
          <w:noProof/>
          <w:color w:val="FF0000"/>
          <w:szCs w:val="20"/>
        </w:rPr>
        <w:drawing>
          <wp:inline distT="0" distB="0" distL="0" distR="0" wp14:anchorId="19360FF8" wp14:editId="4A0F68D9">
            <wp:extent cx="4584700" cy="2755900"/>
            <wp:effectExtent l="0" t="0" r="6350"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FB45758" w14:textId="77777777" w:rsidR="00A71C27" w:rsidRDefault="00A71C27" w:rsidP="00161DDF">
      <w:pPr>
        <w:rPr>
          <w:rFonts w:cs="Arial"/>
          <w:b/>
          <w:szCs w:val="20"/>
        </w:rPr>
      </w:pPr>
    </w:p>
    <w:p w14:paraId="08C07D2E" w14:textId="61BFA391" w:rsidR="003A66E3" w:rsidRPr="002B33C5" w:rsidRDefault="001E61EA" w:rsidP="00494F48">
      <w:pPr>
        <w:rPr>
          <w:rFonts w:cs="Arial"/>
          <w:b/>
          <w:szCs w:val="20"/>
        </w:rPr>
      </w:pPr>
      <w:r w:rsidRPr="002B33C5">
        <w:rPr>
          <w:rFonts w:cs="Arial"/>
          <w:b/>
          <w:szCs w:val="20"/>
        </w:rPr>
        <w:t xml:space="preserve">NHG </w:t>
      </w:r>
      <w:r w:rsidR="00840C28" w:rsidRPr="002B33C5">
        <w:rPr>
          <w:rFonts w:cs="Arial"/>
          <w:b/>
          <w:szCs w:val="20"/>
        </w:rPr>
        <w:t>nog steeds</w:t>
      </w:r>
      <w:r w:rsidRPr="002B33C5">
        <w:rPr>
          <w:rFonts w:cs="Arial"/>
          <w:b/>
          <w:szCs w:val="20"/>
        </w:rPr>
        <w:t xml:space="preserve"> </w:t>
      </w:r>
      <w:r w:rsidR="002E11E7" w:rsidRPr="002B33C5">
        <w:rPr>
          <w:rFonts w:cs="Arial"/>
          <w:b/>
          <w:szCs w:val="20"/>
        </w:rPr>
        <w:t>gewild</w:t>
      </w:r>
    </w:p>
    <w:p w14:paraId="2E297D81" w14:textId="45D26BB9" w:rsidR="003A66E3" w:rsidRPr="0012038C" w:rsidRDefault="0012038C" w:rsidP="0012038C">
      <w:r w:rsidRPr="0012038C">
        <w:t>Het afgelopen jaar zat de woningmarkt in de lift. Veel van de woningkopers bleven kiezen voor een verantwoorde financiering van hun woning mét NHG. De kostengrens voor het verkrijgen van een hypotheek met NHG bedroeg € 245.000 in 2016. Van het aantal verstrekte hypotheken binnen deze grens werd circa 74%* met NHG verstrekt. Dit aandeel piekte in 2012 (86%) en daalt sindsdien geleidelijk, maar is nog steeds hoog ten opzichte van de jaren voor de crisis (41% in 2007).</w:t>
      </w:r>
    </w:p>
    <w:p w14:paraId="75CF7F7F" w14:textId="77777777" w:rsidR="00E83EC2" w:rsidRDefault="00E83EC2" w:rsidP="00494F48">
      <w:pPr>
        <w:rPr>
          <w:rFonts w:cs="Arial"/>
          <w:b/>
          <w:szCs w:val="20"/>
        </w:rPr>
      </w:pPr>
    </w:p>
    <w:p w14:paraId="345B2DAA" w14:textId="6270B7E9" w:rsidR="00E83EC2" w:rsidRPr="00CF2C29" w:rsidRDefault="00E83EC2" w:rsidP="000D78B2">
      <w:pPr>
        <w:rPr>
          <w:rFonts w:cs="Arial"/>
          <w:i/>
          <w:szCs w:val="20"/>
        </w:rPr>
      </w:pPr>
      <w:r w:rsidRPr="00CF2C29">
        <w:rPr>
          <w:rFonts w:cs="Arial"/>
          <w:i/>
          <w:szCs w:val="20"/>
        </w:rPr>
        <w:t>*Deze berekening is gebaseerd op cijfers van het Kadaster van 1-1-2016 t/m 30-11-2016.</w:t>
      </w:r>
    </w:p>
    <w:p w14:paraId="550812C7" w14:textId="77777777" w:rsidR="00DC347C" w:rsidRDefault="00DC347C" w:rsidP="00494F48">
      <w:pPr>
        <w:rPr>
          <w:rFonts w:cs="Arial"/>
          <w:color w:val="FF0000"/>
          <w:szCs w:val="20"/>
        </w:rPr>
      </w:pPr>
    </w:p>
    <w:p w14:paraId="31C5377B" w14:textId="77777777" w:rsidR="004026F7" w:rsidRPr="00494F48" w:rsidRDefault="00DC347C" w:rsidP="00494F48">
      <w:pPr>
        <w:rPr>
          <w:rFonts w:cs="Arial"/>
          <w:color w:val="FF0000"/>
          <w:szCs w:val="20"/>
        </w:rPr>
      </w:pPr>
      <w:r w:rsidRPr="00494F48">
        <w:rPr>
          <w:rFonts w:cs="Arial"/>
          <w:color w:val="FF0000"/>
          <w:szCs w:val="20"/>
        </w:rPr>
        <w:t xml:space="preserve"> </w:t>
      </w:r>
      <w:r w:rsidR="004026F7" w:rsidRPr="00494F48">
        <w:rPr>
          <w:rFonts w:cs="Arial"/>
          <w:color w:val="FF0000"/>
          <w:szCs w:val="20"/>
        </w:rPr>
        <w:br w:type="page"/>
      </w:r>
    </w:p>
    <w:p w14:paraId="75EE45B1" w14:textId="77777777" w:rsidR="004026F7" w:rsidRDefault="004026F7" w:rsidP="004026F7">
      <w:pPr>
        <w:rPr>
          <w:rFonts w:cs="Arial"/>
          <w:szCs w:val="20"/>
        </w:rPr>
      </w:pPr>
    </w:p>
    <w:p w14:paraId="50F4999A" w14:textId="77777777" w:rsidR="005B526A" w:rsidRDefault="004026F7" w:rsidP="005B526A">
      <w:pPr>
        <w:rPr>
          <w:rStyle w:val="Kop1Char"/>
          <w:rFonts w:ascii="Arial" w:hAnsi="Arial" w:cs="Arial"/>
          <w:b w:val="0"/>
          <w:color w:val="auto"/>
          <w:sz w:val="20"/>
          <w:szCs w:val="20"/>
        </w:rPr>
      </w:pPr>
      <w:r w:rsidRPr="000D34B7">
        <w:rPr>
          <w:rFonts w:cs="Arial"/>
          <w:b/>
          <w:szCs w:val="20"/>
          <w:highlight w:val="darkGreen"/>
        </w:rPr>
        <w:t>Pagina 2</w:t>
      </w:r>
      <w:r w:rsidRPr="006D3D33">
        <w:rPr>
          <w:rFonts w:cs="Arial"/>
          <w:szCs w:val="20"/>
        </w:rPr>
        <w:br/>
      </w:r>
    </w:p>
    <w:p w14:paraId="52B57DFD" w14:textId="77777777" w:rsidR="005B526A" w:rsidRDefault="000D34B7" w:rsidP="005B526A">
      <w:pPr>
        <w:rPr>
          <w:rStyle w:val="Kop1Char"/>
          <w:rFonts w:ascii="Arial" w:hAnsi="Arial" w:cs="Arial"/>
          <w:color w:val="auto"/>
          <w:sz w:val="20"/>
          <w:szCs w:val="20"/>
        </w:rPr>
      </w:pPr>
      <w:r w:rsidRPr="000D34B7">
        <w:rPr>
          <w:rStyle w:val="Kop1Char"/>
          <w:rFonts w:ascii="Arial" w:hAnsi="Arial" w:cs="Arial"/>
          <w:color w:val="auto"/>
          <w:sz w:val="20"/>
          <w:szCs w:val="20"/>
        </w:rPr>
        <w:t>ONTWIKKELINGEN VERLIESDECLARATIES</w:t>
      </w:r>
    </w:p>
    <w:p w14:paraId="17AF32F9" w14:textId="77777777" w:rsidR="00FE518F" w:rsidRDefault="00FE518F" w:rsidP="005B526A">
      <w:pPr>
        <w:rPr>
          <w:rStyle w:val="Kop1Char"/>
          <w:rFonts w:ascii="Arial" w:hAnsi="Arial" w:cs="Arial"/>
          <w:color w:val="auto"/>
          <w:sz w:val="20"/>
          <w:szCs w:val="20"/>
        </w:rPr>
      </w:pPr>
    </w:p>
    <w:tbl>
      <w:tblPr>
        <w:tblW w:w="10980" w:type="dxa"/>
        <w:tblCellMar>
          <w:left w:w="70" w:type="dxa"/>
          <w:right w:w="70" w:type="dxa"/>
        </w:tblCellMar>
        <w:tblLook w:val="04A0" w:firstRow="1" w:lastRow="0" w:firstColumn="1" w:lastColumn="0" w:noHBand="0" w:noVBand="1"/>
      </w:tblPr>
      <w:tblGrid>
        <w:gridCol w:w="4920"/>
        <w:gridCol w:w="1260"/>
        <w:gridCol w:w="1260"/>
        <w:gridCol w:w="1260"/>
        <w:gridCol w:w="1320"/>
        <w:gridCol w:w="960"/>
      </w:tblGrid>
      <w:tr w:rsidR="0012038C" w:rsidRPr="0012038C" w14:paraId="5721D149" w14:textId="77777777" w:rsidTr="0012038C">
        <w:trPr>
          <w:trHeight w:val="255"/>
        </w:trPr>
        <w:tc>
          <w:tcPr>
            <w:tcW w:w="4920" w:type="dxa"/>
            <w:tcBorders>
              <w:top w:val="nil"/>
              <w:left w:val="nil"/>
              <w:bottom w:val="nil"/>
              <w:right w:val="nil"/>
            </w:tcBorders>
            <w:shd w:val="clear" w:color="auto" w:fill="auto"/>
            <w:noWrap/>
            <w:vAlign w:val="bottom"/>
            <w:hideMark/>
          </w:tcPr>
          <w:p w14:paraId="1D123B3E" w14:textId="77777777" w:rsidR="0012038C" w:rsidRPr="0012038C" w:rsidRDefault="0012038C" w:rsidP="0012038C">
            <w:pPr>
              <w:rPr>
                <w:rFonts w:cs="Arial"/>
                <w:b/>
                <w:bCs/>
                <w:color w:val="000000"/>
                <w:szCs w:val="20"/>
              </w:rPr>
            </w:pPr>
            <w:r w:rsidRPr="0012038C">
              <w:rPr>
                <w:rFonts w:cs="Arial"/>
                <w:b/>
                <w:bCs/>
                <w:color w:val="000000"/>
                <w:szCs w:val="20"/>
              </w:rPr>
              <w:t>Aanspraken op de borgstelling</w:t>
            </w:r>
          </w:p>
        </w:tc>
        <w:tc>
          <w:tcPr>
            <w:tcW w:w="1260" w:type="dxa"/>
            <w:tcBorders>
              <w:top w:val="nil"/>
              <w:left w:val="nil"/>
              <w:bottom w:val="nil"/>
              <w:right w:val="nil"/>
            </w:tcBorders>
            <w:shd w:val="clear" w:color="auto" w:fill="auto"/>
            <w:noWrap/>
            <w:vAlign w:val="bottom"/>
            <w:hideMark/>
          </w:tcPr>
          <w:p w14:paraId="5F778DAB" w14:textId="77777777" w:rsidR="0012038C" w:rsidRPr="0012038C" w:rsidRDefault="0012038C" w:rsidP="0012038C">
            <w:pPr>
              <w:rPr>
                <w:rFonts w:cs="Arial"/>
                <w:b/>
                <w:bCs/>
                <w:color w:val="000000"/>
                <w:szCs w:val="20"/>
              </w:rPr>
            </w:pPr>
          </w:p>
        </w:tc>
        <w:tc>
          <w:tcPr>
            <w:tcW w:w="1260" w:type="dxa"/>
            <w:tcBorders>
              <w:top w:val="nil"/>
              <w:left w:val="nil"/>
              <w:bottom w:val="nil"/>
              <w:right w:val="nil"/>
            </w:tcBorders>
            <w:shd w:val="clear" w:color="auto" w:fill="auto"/>
            <w:noWrap/>
            <w:vAlign w:val="bottom"/>
            <w:hideMark/>
          </w:tcPr>
          <w:p w14:paraId="0882B24A" w14:textId="77777777" w:rsidR="0012038C" w:rsidRPr="0012038C" w:rsidRDefault="0012038C" w:rsidP="0012038C">
            <w:pPr>
              <w:rPr>
                <w:rFonts w:ascii="Times New Roman" w:hAnsi="Times New Roman"/>
                <w:szCs w:val="20"/>
              </w:rPr>
            </w:pPr>
          </w:p>
        </w:tc>
        <w:tc>
          <w:tcPr>
            <w:tcW w:w="1260" w:type="dxa"/>
            <w:tcBorders>
              <w:top w:val="nil"/>
              <w:left w:val="nil"/>
              <w:bottom w:val="nil"/>
              <w:right w:val="nil"/>
            </w:tcBorders>
            <w:shd w:val="clear" w:color="auto" w:fill="auto"/>
            <w:noWrap/>
            <w:vAlign w:val="bottom"/>
            <w:hideMark/>
          </w:tcPr>
          <w:p w14:paraId="18FE7A35" w14:textId="77777777" w:rsidR="0012038C" w:rsidRPr="0012038C" w:rsidRDefault="0012038C" w:rsidP="0012038C">
            <w:pPr>
              <w:rPr>
                <w:rFonts w:ascii="Times New Roman" w:hAnsi="Times New Roman"/>
                <w:szCs w:val="20"/>
              </w:rPr>
            </w:pPr>
          </w:p>
        </w:tc>
        <w:tc>
          <w:tcPr>
            <w:tcW w:w="1320" w:type="dxa"/>
            <w:tcBorders>
              <w:top w:val="nil"/>
              <w:left w:val="nil"/>
              <w:bottom w:val="nil"/>
              <w:right w:val="nil"/>
            </w:tcBorders>
            <w:shd w:val="clear" w:color="auto" w:fill="auto"/>
            <w:noWrap/>
            <w:vAlign w:val="bottom"/>
            <w:hideMark/>
          </w:tcPr>
          <w:p w14:paraId="75A2F501" w14:textId="77777777" w:rsidR="0012038C" w:rsidRPr="0012038C" w:rsidRDefault="0012038C" w:rsidP="0012038C">
            <w:pPr>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079E1895" w14:textId="77777777" w:rsidR="0012038C" w:rsidRPr="0012038C" w:rsidRDefault="0012038C" w:rsidP="0012038C">
            <w:pPr>
              <w:rPr>
                <w:rFonts w:ascii="Times New Roman" w:hAnsi="Times New Roman"/>
                <w:szCs w:val="20"/>
              </w:rPr>
            </w:pPr>
          </w:p>
        </w:tc>
      </w:tr>
      <w:tr w:rsidR="0012038C" w:rsidRPr="0012038C" w14:paraId="3CC923F9" w14:textId="77777777" w:rsidTr="0012038C">
        <w:trPr>
          <w:trHeight w:val="255"/>
        </w:trPr>
        <w:tc>
          <w:tcPr>
            <w:tcW w:w="4920" w:type="dxa"/>
            <w:tcBorders>
              <w:top w:val="nil"/>
              <w:left w:val="nil"/>
              <w:bottom w:val="nil"/>
              <w:right w:val="nil"/>
            </w:tcBorders>
            <w:shd w:val="clear" w:color="auto" w:fill="auto"/>
            <w:noWrap/>
            <w:vAlign w:val="bottom"/>
            <w:hideMark/>
          </w:tcPr>
          <w:p w14:paraId="4766D076" w14:textId="77777777" w:rsidR="0012038C" w:rsidRPr="0012038C" w:rsidRDefault="0012038C" w:rsidP="0012038C">
            <w:pPr>
              <w:rPr>
                <w:rFonts w:ascii="Times New Roman" w:hAnsi="Times New Roman"/>
                <w:szCs w:val="20"/>
              </w:rPr>
            </w:pPr>
          </w:p>
        </w:tc>
        <w:tc>
          <w:tcPr>
            <w:tcW w:w="1260" w:type="dxa"/>
            <w:tcBorders>
              <w:top w:val="nil"/>
              <w:left w:val="nil"/>
              <w:bottom w:val="nil"/>
              <w:right w:val="nil"/>
            </w:tcBorders>
            <w:shd w:val="clear" w:color="auto" w:fill="auto"/>
            <w:vAlign w:val="bottom"/>
            <w:hideMark/>
          </w:tcPr>
          <w:p w14:paraId="4E580AC5" w14:textId="77777777" w:rsidR="0012038C" w:rsidRPr="0012038C" w:rsidRDefault="0012038C" w:rsidP="0012038C">
            <w:pPr>
              <w:jc w:val="right"/>
              <w:rPr>
                <w:rFonts w:cs="Arial"/>
                <w:b/>
                <w:bCs/>
                <w:szCs w:val="20"/>
              </w:rPr>
            </w:pPr>
            <w:r w:rsidRPr="0012038C">
              <w:rPr>
                <w:rFonts w:cs="Arial"/>
                <w:b/>
                <w:bCs/>
                <w:szCs w:val="20"/>
              </w:rPr>
              <w:t>4e kwartaal</w:t>
            </w:r>
          </w:p>
        </w:tc>
        <w:tc>
          <w:tcPr>
            <w:tcW w:w="1260" w:type="dxa"/>
            <w:tcBorders>
              <w:top w:val="nil"/>
              <w:left w:val="nil"/>
              <w:bottom w:val="nil"/>
              <w:right w:val="nil"/>
            </w:tcBorders>
            <w:shd w:val="clear" w:color="auto" w:fill="auto"/>
            <w:vAlign w:val="bottom"/>
            <w:hideMark/>
          </w:tcPr>
          <w:p w14:paraId="22A2017C" w14:textId="77777777" w:rsidR="0012038C" w:rsidRPr="0012038C" w:rsidRDefault="0012038C" w:rsidP="0012038C">
            <w:pPr>
              <w:jc w:val="right"/>
              <w:rPr>
                <w:rFonts w:cs="Arial"/>
                <w:b/>
                <w:bCs/>
                <w:szCs w:val="20"/>
              </w:rPr>
            </w:pPr>
          </w:p>
        </w:tc>
        <w:tc>
          <w:tcPr>
            <w:tcW w:w="1260" w:type="dxa"/>
            <w:tcBorders>
              <w:top w:val="nil"/>
              <w:left w:val="nil"/>
              <w:bottom w:val="nil"/>
              <w:right w:val="nil"/>
            </w:tcBorders>
            <w:shd w:val="clear" w:color="auto" w:fill="auto"/>
            <w:noWrap/>
            <w:vAlign w:val="bottom"/>
            <w:hideMark/>
          </w:tcPr>
          <w:p w14:paraId="3C1FA453" w14:textId="77777777" w:rsidR="0012038C" w:rsidRPr="0012038C" w:rsidRDefault="0012038C" w:rsidP="0012038C">
            <w:pPr>
              <w:jc w:val="center"/>
              <w:rPr>
                <w:rFonts w:cs="Arial"/>
                <w:b/>
                <w:bCs/>
                <w:color w:val="000000"/>
                <w:szCs w:val="20"/>
              </w:rPr>
            </w:pPr>
            <w:r w:rsidRPr="0012038C">
              <w:rPr>
                <w:rFonts w:cs="Arial"/>
                <w:b/>
                <w:bCs/>
                <w:color w:val="000000"/>
                <w:szCs w:val="20"/>
              </w:rPr>
              <w:t>Jaar</w:t>
            </w:r>
          </w:p>
        </w:tc>
        <w:tc>
          <w:tcPr>
            <w:tcW w:w="1320" w:type="dxa"/>
            <w:tcBorders>
              <w:top w:val="nil"/>
              <w:left w:val="nil"/>
              <w:bottom w:val="nil"/>
              <w:right w:val="nil"/>
            </w:tcBorders>
            <w:shd w:val="clear" w:color="auto" w:fill="auto"/>
            <w:noWrap/>
            <w:vAlign w:val="bottom"/>
            <w:hideMark/>
          </w:tcPr>
          <w:p w14:paraId="24EFD96C" w14:textId="77777777" w:rsidR="0012038C" w:rsidRPr="0012038C" w:rsidRDefault="0012038C" w:rsidP="0012038C">
            <w:pPr>
              <w:jc w:val="center"/>
              <w:rPr>
                <w:rFonts w:cs="Arial"/>
                <w:b/>
                <w:bCs/>
                <w:color w:val="000000"/>
                <w:szCs w:val="20"/>
              </w:rPr>
            </w:pPr>
          </w:p>
        </w:tc>
        <w:tc>
          <w:tcPr>
            <w:tcW w:w="960" w:type="dxa"/>
            <w:tcBorders>
              <w:top w:val="nil"/>
              <w:left w:val="nil"/>
              <w:bottom w:val="nil"/>
              <w:right w:val="nil"/>
            </w:tcBorders>
            <w:shd w:val="clear" w:color="auto" w:fill="auto"/>
            <w:noWrap/>
            <w:vAlign w:val="bottom"/>
            <w:hideMark/>
          </w:tcPr>
          <w:p w14:paraId="2074D2D6" w14:textId="77777777" w:rsidR="0012038C" w:rsidRPr="0012038C" w:rsidRDefault="0012038C" w:rsidP="0012038C">
            <w:pPr>
              <w:jc w:val="center"/>
              <w:rPr>
                <w:rFonts w:ascii="Times New Roman" w:hAnsi="Times New Roman"/>
                <w:szCs w:val="20"/>
              </w:rPr>
            </w:pPr>
          </w:p>
        </w:tc>
      </w:tr>
      <w:tr w:rsidR="0012038C" w:rsidRPr="0012038C" w14:paraId="2E16D0B3" w14:textId="77777777" w:rsidTr="0012038C">
        <w:trPr>
          <w:trHeight w:val="255"/>
        </w:trPr>
        <w:tc>
          <w:tcPr>
            <w:tcW w:w="4920" w:type="dxa"/>
            <w:tcBorders>
              <w:top w:val="nil"/>
              <w:left w:val="nil"/>
              <w:bottom w:val="nil"/>
              <w:right w:val="nil"/>
            </w:tcBorders>
            <w:shd w:val="clear" w:color="auto" w:fill="auto"/>
            <w:noWrap/>
            <w:vAlign w:val="bottom"/>
            <w:hideMark/>
          </w:tcPr>
          <w:p w14:paraId="0B75E532" w14:textId="77777777" w:rsidR="0012038C" w:rsidRPr="0012038C" w:rsidRDefault="0012038C" w:rsidP="0012038C">
            <w:pPr>
              <w:rPr>
                <w:rFonts w:ascii="Times New Roman" w:hAnsi="Times New Roman"/>
                <w:szCs w:val="20"/>
              </w:rPr>
            </w:pPr>
          </w:p>
        </w:tc>
        <w:tc>
          <w:tcPr>
            <w:tcW w:w="1260" w:type="dxa"/>
            <w:tcBorders>
              <w:top w:val="nil"/>
              <w:left w:val="nil"/>
              <w:bottom w:val="nil"/>
              <w:right w:val="nil"/>
            </w:tcBorders>
            <w:shd w:val="clear" w:color="auto" w:fill="auto"/>
            <w:noWrap/>
            <w:vAlign w:val="bottom"/>
            <w:hideMark/>
          </w:tcPr>
          <w:p w14:paraId="44E66B8E" w14:textId="77777777" w:rsidR="0012038C" w:rsidRPr="0012038C" w:rsidRDefault="0012038C" w:rsidP="0012038C">
            <w:pPr>
              <w:jc w:val="right"/>
              <w:rPr>
                <w:rFonts w:cs="Arial"/>
                <w:b/>
                <w:bCs/>
                <w:color w:val="000000"/>
                <w:szCs w:val="20"/>
              </w:rPr>
            </w:pPr>
            <w:r w:rsidRPr="0012038C">
              <w:rPr>
                <w:rFonts w:cs="Arial"/>
                <w:b/>
                <w:bCs/>
                <w:color w:val="000000"/>
                <w:szCs w:val="20"/>
              </w:rPr>
              <w:t>2016</w:t>
            </w:r>
          </w:p>
        </w:tc>
        <w:tc>
          <w:tcPr>
            <w:tcW w:w="1260" w:type="dxa"/>
            <w:tcBorders>
              <w:top w:val="nil"/>
              <w:left w:val="nil"/>
              <w:bottom w:val="nil"/>
              <w:right w:val="nil"/>
            </w:tcBorders>
            <w:shd w:val="clear" w:color="auto" w:fill="auto"/>
            <w:noWrap/>
            <w:vAlign w:val="bottom"/>
            <w:hideMark/>
          </w:tcPr>
          <w:p w14:paraId="56B90FDC" w14:textId="77777777" w:rsidR="0012038C" w:rsidRPr="0012038C" w:rsidRDefault="0012038C" w:rsidP="0012038C">
            <w:pPr>
              <w:jc w:val="right"/>
              <w:rPr>
                <w:rFonts w:cs="Arial"/>
                <w:b/>
                <w:bCs/>
                <w:color w:val="000000"/>
                <w:szCs w:val="20"/>
              </w:rPr>
            </w:pPr>
            <w:r w:rsidRPr="0012038C">
              <w:rPr>
                <w:rFonts w:cs="Arial"/>
                <w:b/>
                <w:bCs/>
                <w:color w:val="000000"/>
                <w:szCs w:val="20"/>
              </w:rPr>
              <w:t>2015</w:t>
            </w:r>
          </w:p>
        </w:tc>
        <w:tc>
          <w:tcPr>
            <w:tcW w:w="1260" w:type="dxa"/>
            <w:tcBorders>
              <w:top w:val="nil"/>
              <w:left w:val="nil"/>
              <w:bottom w:val="nil"/>
              <w:right w:val="nil"/>
            </w:tcBorders>
            <w:shd w:val="clear" w:color="auto" w:fill="auto"/>
            <w:noWrap/>
            <w:vAlign w:val="bottom"/>
            <w:hideMark/>
          </w:tcPr>
          <w:p w14:paraId="14A24CA2" w14:textId="77777777" w:rsidR="0012038C" w:rsidRPr="0012038C" w:rsidRDefault="0012038C" w:rsidP="0012038C">
            <w:pPr>
              <w:jc w:val="right"/>
              <w:rPr>
                <w:rFonts w:cs="Arial"/>
                <w:b/>
                <w:bCs/>
                <w:color w:val="000000"/>
                <w:szCs w:val="20"/>
              </w:rPr>
            </w:pPr>
            <w:r w:rsidRPr="0012038C">
              <w:rPr>
                <w:rFonts w:cs="Arial"/>
                <w:b/>
                <w:bCs/>
                <w:color w:val="000000"/>
                <w:szCs w:val="20"/>
              </w:rPr>
              <w:t>2016</w:t>
            </w:r>
          </w:p>
        </w:tc>
        <w:tc>
          <w:tcPr>
            <w:tcW w:w="1320" w:type="dxa"/>
            <w:tcBorders>
              <w:top w:val="nil"/>
              <w:left w:val="nil"/>
              <w:bottom w:val="nil"/>
              <w:right w:val="nil"/>
            </w:tcBorders>
            <w:shd w:val="clear" w:color="auto" w:fill="auto"/>
            <w:noWrap/>
            <w:vAlign w:val="bottom"/>
            <w:hideMark/>
          </w:tcPr>
          <w:p w14:paraId="316290EF" w14:textId="77777777" w:rsidR="0012038C" w:rsidRPr="0012038C" w:rsidRDefault="0012038C" w:rsidP="0012038C">
            <w:pPr>
              <w:jc w:val="right"/>
              <w:rPr>
                <w:rFonts w:cs="Arial"/>
                <w:b/>
                <w:bCs/>
                <w:color w:val="000000"/>
                <w:szCs w:val="20"/>
              </w:rPr>
            </w:pPr>
            <w:r w:rsidRPr="0012038C">
              <w:rPr>
                <w:rFonts w:cs="Arial"/>
                <w:b/>
                <w:bCs/>
                <w:color w:val="000000"/>
                <w:szCs w:val="20"/>
              </w:rPr>
              <w:t>2015</w:t>
            </w:r>
          </w:p>
        </w:tc>
        <w:tc>
          <w:tcPr>
            <w:tcW w:w="960" w:type="dxa"/>
            <w:tcBorders>
              <w:top w:val="nil"/>
              <w:left w:val="nil"/>
              <w:bottom w:val="nil"/>
              <w:right w:val="nil"/>
            </w:tcBorders>
            <w:shd w:val="clear" w:color="auto" w:fill="auto"/>
            <w:noWrap/>
            <w:vAlign w:val="bottom"/>
            <w:hideMark/>
          </w:tcPr>
          <w:p w14:paraId="2D5EEF80" w14:textId="77777777" w:rsidR="0012038C" w:rsidRPr="0012038C" w:rsidRDefault="0012038C" w:rsidP="0012038C">
            <w:pPr>
              <w:jc w:val="right"/>
              <w:rPr>
                <w:rFonts w:cs="Arial"/>
                <w:b/>
                <w:bCs/>
                <w:color w:val="000000"/>
                <w:szCs w:val="20"/>
              </w:rPr>
            </w:pPr>
          </w:p>
        </w:tc>
      </w:tr>
      <w:tr w:rsidR="0012038C" w:rsidRPr="0012038C" w14:paraId="274E1977" w14:textId="77777777" w:rsidTr="0012038C">
        <w:trPr>
          <w:trHeight w:val="255"/>
        </w:trPr>
        <w:tc>
          <w:tcPr>
            <w:tcW w:w="4920" w:type="dxa"/>
            <w:tcBorders>
              <w:top w:val="single" w:sz="4" w:space="0" w:color="auto"/>
              <w:left w:val="nil"/>
              <w:bottom w:val="nil"/>
              <w:right w:val="nil"/>
            </w:tcBorders>
            <w:shd w:val="clear" w:color="auto" w:fill="auto"/>
            <w:noWrap/>
            <w:vAlign w:val="bottom"/>
            <w:hideMark/>
          </w:tcPr>
          <w:p w14:paraId="3C513CA4" w14:textId="77777777" w:rsidR="0012038C" w:rsidRPr="0012038C" w:rsidRDefault="0012038C" w:rsidP="0012038C">
            <w:pPr>
              <w:rPr>
                <w:rFonts w:cs="Arial"/>
                <w:color w:val="000000"/>
                <w:szCs w:val="20"/>
              </w:rPr>
            </w:pPr>
            <w:r w:rsidRPr="0012038C">
              <w:rPr>
                <w:rFonts w:cs="Arial"/>
                <w:color w:val="000000"/>
                <w:szCs w:val="20"/>
              </w:rPr>
              <w:t>Aantal ingediende verliesdeclaraties</w:t>
            </w:r>
          </w:p>
        </w:tc>
        <w:tc>
          <w:tcPr>
            <w:tcW w:w="1260" w:type="dxa"/>
            <w:tcBorders>
              <w:top w:val="single" w:sz="4" w:space="0" w:color="auto"/>
              <w:left w:val="nil"/>
              <w:bottom w:val="nil"/>
              <w:right w:val="nil"/>
            </w:tcBorders>
            <w:shd w:val="clear" w:color="auto" w:fill="auto"/>
            <w:noWrap/>
            <w:vAlign w:val="bottom"/>
            <w:hideMark/>
          </w:tcPr>
          <w:p w14:paraId="139042B6" w14:textId="77777777" w:rsidR="0012038C" w:rsidRPr="0012038C" w:rsidRDefault="0012038C" w:rsidP="0012038C">
            <w:pPr>
              <w:jc w:val="right"/>
              <w:rPr>
                <w:rFonts w:cs="Arial"/>
                <w:color w:val="000000"/>
                <w:szCs w:val="20"/>
              </w:rPr>
            </w:pPr>
            <w:r w:rsidRPr="0012038C">
              <w:rPr>
                <w:rFonts w:cs="Arial"/>
                <w:color w:val="000000"/>
                <w:szCs w:val="20"/>
              </w:rPr>
              <w:t>802</w:t>
            </w:r>
          </w:p>
        </w:tc>
        <w:tc>
          <w:tcPr>
            <w:tcW w:w="1260" w:type="dxa"/>
            <w:tcBorders>
              <w:top w:val="single" w:sz="4" w:space="0" w:color="auto"/>
              <w:left w:val="nil"/>
              <w:bottom w:val="nil"/>
              <w:right w:val="nil"/>
            </w:tcBorders>
            <w:shd w:val="clear" w:color="auto" w:fill="auto"/>
            <w:noWrap/>
            <w:vAlign w:val="bottom"/>
            <w:hideMark/>
          </w:tcPr>
          <w:p w14:paraId="205BFF82" w14:textId="77777777" w:rsidR="0012038C" w:rsidRPr="0012038C" w:rsidRDefault="0012038C" w:rsidP="0012038C">
            <w:pPr>
              <w:jc w:val="right"/>
              <w:rPr>
                <w:rFonts w:cs="Arial"/>
                <w:color w:val="000000"/>
                <w:szCs w:val="20"/>
              </w:rPr>
            </w:pPr>
            <w:r w:rsidRPr="0012038C">
              <w:rPr>
                <w:rFonts w:cs="Arial"/>
                <w:color w:val="000000"/>
                <w:szCs w:val="20"/>
              </w:rPr>
              <w:t>1.078</w:t>
            </w:r>
          </w:p>
        </w:tc>
        <w:tc>
          <w:tcPr>
            <w:tcW w:w="1260" w:type="dxa"/>
            <w:tcBorders>
              <w:top w:val="single" w:sz="4" w:space="0" w:color="auto"/>
              <w:left w:val="nil"/>
              <w:bottom w:val="nil"/>
              <w:right w:val="nil"/>
            </w:tcBorders>
            <w:shd w:val="clear" w:color="auto" w:fill="auto"/>
            <w:noWrap/>
            <w:vAlign w:val="bottom"/>
            <w:hideMark/>
          </w:tcPr>
          <w:p w14:paraId="0465EB55" w14:textId="77777777" w:rsidR="0012038C" w:rsidRPr="0012038C" w:rsidRDefault="0012038C" w:rsidP="0012038C">
            <w:pPr>
              <w:jc w:val="right"/>
              <w:rPr>
                <w:rFonts w:cs="Arial"/>
                <w:color w:val="000000"/>
                <w:szCs w:val="20"/>
              </w:rPr>
            </w:pPr>
            <w:r w:rsidRPr="0012038C">
              <w:rPr>
                <w:rFonts w:cs="Arial"/>
                <w:color w:val="000000"/>
                <w:szCs w:val="20"/>
              </w:rPr>
              <w:t>3.506</w:t>
            </w:r>
          </w:p>
        </w:tc>
        <w:tc>
          <w:tcPr>
            <w:tcW w:w="1320" w:type="dxa"/>
            <w:tcBorders>
              <w:top w:val="single" w:sz="4" w:space="0" w:color="auto"/>
              <w:left w:val="nil"/>
              <w:bottom w:val="nil"/>
              <w:right w:val="nil"/>
            </w:tcBorders>
            <w:shd w:val="clear" w:color="auto" w:fill="auto"/>
            <w:noWrap/>
            <w:vAlign w:val="bottom"/>
            <w:hideMark/>
          </w:tcPr>
          <w:p w14:paraId="5501CBD5" w14:textId="77777777" w:rsidR="0012038C" w:rsidRPr="0012038C" w:rsidRDefault="0012038C" w:rsidP="0012038C">
            <w:pPr>
              <w:jc w:val="right"/>
              <w:rPr>
                <w:rFonts w:cs="Arial"/>
                <w:color w:val="000000"/>
                <w:szCs w:val="20"/>
              </w:rPr>
            </w:pPr>
            <w:r w:rsidRPr="0012038C">
              <w:rPr>
                <w:rFonts w:cs="Arial"/>
                <w:color w:val="000000"/>
                <w:szCs w:val="20"/>
              </w:rPr>
              <w:t>4.490</w:t>
            </w:r>
          </w:p>
        </w:tc>
        <w:tc>
          <w:tcPr>
            <w:tcW w:w="960" w:type="dxa"/>
            <w:tcBorders>
              <w:top w:val="nil"/>
              <w:left w:val="nil"/>
              <w:bottom w:val="nil"/>
              <w:right w:val="nil"/>
            </w:tcBorders>
            <w:shd w:val="clear" w:color="auto" w:fill="auto"/>
            <w:noWrap/>
            <w:vAlign w:val="bottom"/>
            <w:hideMark/>
          </w:tcPr>
          <w:p w14:paraId="40F58DCF" w14:textId="77777777" w:rsidR="0012038C" w:rsidRPr="0012038C" w:rsidRDefault="0012038C" w:rsidP="0012038C">
            <w:pPr>
              <w:jc w:val="right"/>
              <w:rPr>
                <w:rFonts w:cs="Arial"/>
                <w:color w:val="000000"/>
                <w:szCs w:val="20"/>
              </w:rPr>
            </w:pPr>
          </w:p>
        </w:tc>
      </w:tr>
      <w:tr w:rsidR="0012038C" w:rsidRPr="0012038C" w14:paraId="5DED11C3" w14:textId="77777777" w:rsidTr="0012038C">
        <w:trPr>
          <w:trHeight w:val="255"/>
        </w:trPr>
        <w:tc>
          <w:tcPr>
            <w:tcW w:w="4920" w:type="dxa"/>
            <w:tcBorders>
              <w:top w:val="nil"/>
              <w:left w:val="nil"/>
              <w:bottom w:val="nil"/>
              <w:right w:val="nil"/>
            </w:tcBorders>
            <w:shd w:val="clear" w:color="auto" w:fill="auto"/>
            <w:noWrap/>
            <w:vAlign w:val="bottom"/>
            <w:hideMark/>
          </w:tcPr>
          <w:p w14:paraId="7A33A6D8" w14:textId="77777777" w:rsidR="0012038C" w:rsidRPr="0012038C" w:rsidRDefault="0012038C" w:rsidP="0012038C">
            <w:pPr>
              <w:rPr>
                <w:rFonts w:cs="Arial"/>
                <w:color w:val="000000"/>
                <w:szCs w:val="20"/>
              </w:rPr>
            </w:pPr>
            <w:r w:rsidRPr="0012038C">
              <w:rPr>
                <w:rFonts w:cs="Arial"/>
                <w:color w:val="000000"/>
                <w:szCs w:val="20"/>
              </w:rPr>
              <w:t>% afgehandelde verliesdeclaraties</w:t>
            </w:r>
          </w:p>
        </w:tc>
        <w:tc>
          <w:tcPr>
            <w:tcW w:w="1260" w:type="dxa"/>
            <w:tcBorders>
              <w:top w:val="nil"/>
              <w:left w:val="nil"/>
              <w:bottom w:val="nil"/>
              <w:right w:val="nil"/>
            </w:tcBorders>
            <w:shd w:val="clear" w:color="auto" w:fill="auto"/>
            <w:noWrap/>
            <w:vAlign w:val="bottom"/>
            <w:hideMark/>
          </w:tcPr>
          <w:p w14:paraId="2A94AAA6" w14:textId="77777777" w:rsidR="0012038C" w:rsidRPr="0012038C" w:rsidRDefault="0012038C" w:rsidP="0012038C">
            <w:pPr>
              <w:jc w:val="right"/>
              <w:rPr>
                <w:rFonts w:cs="Arial"/>
                <w:color w:val="000000"/>
                <w:szCs w:val="20"/>
              </w:rPr>
            </w:pPr>
            <w:r w:rsidRPr="0012038C">
              <w:rPr>
                <w:rFonts w:cs="Arial"/>
                <w:color w:val="000000"/>
                <w:szCs w:val="20"/>
              </w:rPr>
              <w:t>80%</w:t>
            </w:r>
          </w:p>
        </w:tc>
        <w:tc>
          <w:tcPr>
            <w:tcW w:w="1260" w:type="dxa"/>
            <w:tcBorders>
              <w:top w:val="nil"/>
              <w:left w:val="nil"/>
              <w:bottom w:val="nil"/>
              <w:right w:val="nil"/>
            </w:tcBorders>
            <w:shd w:val="clear" w:color="auto" w:fill="auto"/>
            <w:noWrap/>
            <w:vAlign w:val="bottom"/>
            <w:hideMark/>
          </w:tcPr>
          <w:p w14:paraId="246377A6" w14:textId="77777777" w:rsidR="0012038C" w:rsidRPr="0012038C" w:rsidRDefault="0012038C" w:rsidP="0012038C">
            <w:pPr>
              <w:jc w:val="right"/>
              <w:rPr>
                <w:rFonts w:cs="Arial"/>
                <w:color w:val="000000"/>
                <w:szCs w:val="20"/>
              </w:rPr>
            </w:pPr>
            <w:r w:rsidRPr="0012038C">
              <w:rPr>
                <w:rFonts w:cs="Arial"/>
                <w:color w:val="000000"/>
                <w:szCs w:val="20"/>
              </w:rPr>
              <w:t>100%</w:t>
            </w:r>
          </w:p>
        </w:tc>
        <w:tc>
          <w:tcPr>
            <w:tcW w:w="1260" w:type="dxa"/>
            <w:tcBorders>
              <w:top w:val="nil"/>
              <w:left w:val="nil"/>
              <w:bottom w:val="nil"/>
              <w:right w:val="nil"/>
            </w:tcBorders>
            <w:shd w:val="clear" w:color="auto" w:fill="auto"/>
            <w:noWrap/>
            <w:vAlign w:val="bottom"/>
            <w:hideMark/>
          </w:tcPr>
          <w:p w14:paraId="16F1F0E0" w14:textId="77777777" w:rsidR="0012038C" w:rsidRPr="0012038C" w:rsidRDefault="0012038C" w:rsidP="0012038C">
            <w:pPr>
              <w:jc w:val="right"/>
              <w:rPr>
                <w:rFonts w:cs="Arial"/>
                <w:color w:val="000000"/>
                <w:szCs w:val="20"/>
              </w:rPr>
            </w:pPr>
            <w:r w:rsidRPr="0012038C">
              <w:rPr>
                <w:rFonts w:cs="Arial"/>
                <w:color w:val="000000"/>
                <w:szCs w:val="20"/>
              </w:rPr>
              <w:t>95%</w:t>
            </w:r>
          </w:p>
        </w:tc>
        <w:tc>
          <w:tcPr>
            <w:tcW w:w="1320" w:type="dxa"/>
            <w:tcBorders>
              <w:top w:val="nil"/>
              <w:left w:val="nil"/>
              <w:bottom w:val="nil"/>
              <w:right w:val="nil"/>
            </w:tcBorders>
            <w:shd w:val="clear" w:color="auto" w:fill="auto"/>
            <w:noWrap/>
            <w:vAlign w:val="bottom"/>
            <w:hideMark/>
          </w:tcPr>
          <w:p w14:paraId="5AB2857C" w14:textId="77777777" w:rsidR="0012038C" w:rsidRPr="0012038C" w:rsidRDefault="0012038C" w:rsidP="0012038C">
            <w:pPr>
              <w:jc w:val="right"/>
              <w:rPr>
                <w:rFonts w:cs="Arial"/>
                <w:color w:val="000000"/>
                <w:szCs w:val="20"/>
              </w:rPr>
            </w:pPr>
            <w:r w:rsidRPr="0012038C">
              <w:rPr>
                <w:rFonts w:cs="Arial"/>
                <w:color w:val="000000"/>
                <w:szCs w:val="20"/>
              </w:rPr>
              <w:t>100%</w:t>
            </w:r>
          </w:p>
        </w:tc>
        <w:tc>
          <w:tcPr>
            <w:tcW w:w="960" w:type="dxa"/>
            <w:tcBorders>
              <w:top w:val="nil"/>
              <w:left w:val="nil"/>
              <w:bottom w:val="nil"/>
              <w:right w:val="nil"/>
            </w:tcBorders>
            <w:shd w:val="clear" w:color="auto" w:fill="auto"/>
            <w:noWrap/>
            <w:vAlign w:val="bottom"/>
            <w:hideMark/>
          </w:tcPr>
          <w:p w14:paraId="0DB7C429" w14:textId="77777777" w:rsidR="0012038C" w:rsidRPr="0012038C" w:rsidRDefault="0012038C" w:rsidP="0012038C">
            <w:pPr>
              <w:jc w:val="right"/>
              <w:rPr>
                <w:rFonts w:cs="Arial"/>
                <w:color w:val="000000"/>
                <w:szCs w:val="20"/>
              </w:rPr>
            </w:pPr>
          </w:p>
        </w:tc>
      </w:tr>
      <w:tr w:rsidR="0012038C" w:rsidRPr="0012038C" w14:paraId="3EBCFC08" w14:textId="77777777" w:rsidTr="0012038C">
        <w:trPr>
          <w:trHeight w:val="255"/>
        </w:trPr>
        <w:tc>
          <w:tcPr>
            <w:tcW w:w="4920" w:type="dxa"/>
            <w:tcBorders>
              <w:top w:val="nil"/>
              <w:left w:val="nil"/>
              <w:bottom w:val="nil"/>
              <w:right w:val="nil"/>
            </w:tcBorders>
            <w:shd w:val="clear" w:color="auto" w:fill="auto"/>
            <w:noWrap/>
            <w:vAlign w:val="bottom"/>
            <w:hideMark/>
          </w:tcPr>
          <w:p w14:paraId="6ACF60DF" w14:textId="77777777" w:rsidR="0012038C" w:rsidRPr="0012038C" w:rsidRDefault="0012038C" w:rsidP="0012038C">
            <w:pPr>
              <w:rPr>
                <w:rFonts w:cs="Arial"/>
                <w:color w:val="000000"/>
                <w:szCs w:val="20"/>
              </w:rPr>
            </w:pPr>
            <w:r w:rsidRPr="0012038C">
              <w:rPr>
                <w:rFonts w:cs="Arial"/>
                <w:color w:val="000000"/>
                <w:szCs w:val="20"/>
              </w:rPr>
              <w:t>Aantal gehonoreerde verliesdeclaraties</w:t>
            </w:r>
          </w:p>
        </w:tc>
        <w:tc>
          <w:tcPr>
            <w:tcW w:w="1260" w:type="dxa"/>
            <w:tcBorders>
              <w:top w:val="nil"/>
              <w:left w:val="nil"/>
              <w:bottom w:val="nil"/>
              <w:right w:val="nil"/>
            </w:tcBorders>
            <w:shd w:val="clear" w:color="auto" w:fill="auto"/>
            <w:noWrap/>
            <w:vAlign w:val="bottom"/>
            <w:hideMark/>
          </w:tcPr>
          <w:p w14:paraId="30C42E98" w14:textId="77777777" w:rsidR="0012038C" w:rsidRPr="0012038C" w:rsidRDefault="0012038C" w:rsidP="0012038C">
            <w:pPr>
              <w:jc w:val="right"/>
              <w:rPr>
                <w:rFonts w:cs="Arial"/>
                <w:color w:val="000000"/>
                <w:szCs w:val="20"/>
              </w:rPr>
            </w:pPr>
            <w:r w:rsidRPr="0012038C">
              <w:rPr>
                <w:rFonts w:cs="Arial"/>
                <w:color w:val="000000"/>
                <w:szCs w:val="20"/>
              </w:rPr>
              <w:t>576</w:t>
            </w:r>
          </w:p>
        </w:tc>
        <w:tc>
          <w:tcPr>
            <w:tcW w:w="1260" w:type="dxa"/>
            <w:tcBorders>
              <w:top w:val="nil"/>
              <w:left w:val="nil"/>
              <w:bottom w:val="nil"/>
              <w:right w:val="nil"/>
            </w:tcBorders>
            <w:shd w:val="clear" w:color="auto" w:fill="auto"/>
            <w:noWrap/>
            <w:vAlign w:val="bottom"/>
            <w:hideMark/>
          </w:tcPr>
          <w:p w14:paraId="713C4021" w14:textId="77777777" w:rsidR="0012038C" w:rsidRPr="0012038C" w:rsidRDefault="0012038C" w:rsidP="0012038C">
            <w:pPr>
              <w:jc w:val="right"/>
              <w:rPr>
                <w:rFonts w:cs="Arial"/>
                <w:color w:val="000000"/>
                <w:szCs w:val="20"/>
              </w:rPr>
            </w:pPr>
            <w:r w:rsidRPr="0012038C">
              <w:rPr>
                <w:rFonts w:cs="Arial"/>
                <w:color w:val="000000"/>
                <w:szCs w:val="20"/>
              </w:rPr>
              <w:t>963</w:t>
            </w:r>
          </w:p>
        </w:tc>
        <w:tc>
          <w:tcPr>
            <w:tcW w:w="1260" w:type="dxa"/>
            <w:tcBorders>
              <w:top w:val="nil"/>
              <w:left w:val="nil"/>
              <w:bottom w:val="nil"/>
              <w:right w:val="nil"/>
            </w:tcBorders>
            <w:shd w:val="clear" w:color="auto" w:fill="auto"/>
            <w:noWrap/>
            <w:vAlign w:val="bottom"/>
            <w:hideMark/>
          </w:tcPr>
          <w:p w14:paraId="2F7513B2" w14:textId="77777777" w:rsidR="0012038C" w:rsidRPr="0012038C" w:rsidRDefault="0012038C" w:rsidP="0012038C">
            <w:pPr>
              <w:jc w:val="right"/>
              <w:rPr>
                <w:rFonts w:cs="Arial"/>
                <w:color w:val="000000"/>
                <w:szCs w:val="20"/>
              </w:rPr>
            </w:pPr>
            <w:r w:rsidRPr="0012038C">
              <w:rPr>
                <w:rFonts w:cs="Arial"/>
                <w:color w:val="000000"/>
                <w:szCs w:val="20"/>
              </w:rPr>
              <w:t>2.971</w:t>
            </w:r>
          </w:p>
        </w:tc>
        <w:tc>
          <w:tcPr>
            <w:tcW w:w="1320" w:type="dxa"/>
            <w:tcBorders>
              <w:top w:val="nil"/>
              <w:left w:val="nil"/>
              <w:bottom w:val="nil"/>
              <w:right w:val="nil"/>
            </w:tcBorders>
            <w:shd w:val="clear" w:color="auto" w:fill="auto"/>
            <w:noWrap/>
            <w:vAlign w:val="bottom"/>
            <w:hideMark/>
          </w:tcPr>
          <w:p w14:paraId="3981681C" w14:textId="77777777" w:rsidR="0012038C" w:rsidRPr="0012038C" w:rsidRDefault="0012038C" w:rsidP="0012038C">
            <w:pPr>
              <w:jc w:val="right"/>
              <w:rPr>
                <w:rFonts w:cs="Arial"/>
                <w:color w:val="000000"/>
                <w:szCs w:val="20"/>
              </w:rPr>
            </w:pPr>
            <w:r w:rsidRPr="0012038C">
              <w:rPr>
                <w:rFonts w:cs="Arial"/>
                <w:color w:val="000000"/>
                <w:szCs w:val="20"/>
              </w:rPr>
              <w:t>4.012</w:t>
            </w:r>
          </w:p>
        </w:tc>
        <w:tc>
          <w:tcPr>
            <w:tcW w:w="960" w:type="dxa"/>
            <w:tcBorders>
              <w:top w:val="nil"/>
              <w:left w:val="nil"/>
              <w:bottom w:val="nil"/>
              <w:right w:val="nil"/>
            </w:tcBorders>
            <w:shd w:val="clear" w:color="auto" w:fill="auto"/>
            <w:noWrap/>
            <w:vAlign w:val="bottom"/>
            <w:hideMark/>
          </w:tcPr>
          <w:p w14:paraId="3483C8D9" w14:textId="77777777" w:rsidR="0012038C" w:rsidRPr="0012038C" w:rsidRDefault="0012038C" w:rsidP="0012038C">
            <w:pPr>
              <w:jc w:val="right"/>
              <w:rPr>
                <w:rFonts w:cs="Arial"/>
                <w:color w:val="000000"/>
                <w:szCs w:val="20"/>
              </w:rPr>
            </w:pPr>
          </w:p>
        </w:tc>
      </w:tr>
      <w:tr w:rsidR="0012038C" w:rsidRPr="0012038C" w14:paraId="76FC8D95" w14:textId="77777777" w:rsidTr="0012038C">
        <w:trPr>
          <w:trHeight w:val="255"/>
        </w:trPr>
        <w:tc>
          <w:tcPr>
            <w:tcW w:w="4920" w:type="dxa"/>
            <w:tcBorders>
              <w:top w:val="nil"/>
              <w:left w:val="nil"/>
              <w:bottom w:val="nil"/>
              <w:right w:val="nil"/>
            </w:tcBorders>
            <w:shd w:val="clear" w:color="auto" w:fill="auto"/>
            <w:noWrap/>
            <w:vAlign w:val="bottom"/>
            <w:hideMark/>
          </w:tcPr>
          <w:p w14:paraId="731D9885" w14:textId="77777777" w:rsidR="0012038C" w:rsidRPr="0012038C" w:rsidRDefault="0012038C" w:rsidP="0012038C">
            <w:pPr>
              <w:rPr>
                <w:rFonts w:cs="Arial"/>
                <w:color w:val="000000"/>
                <w:szCs w:val="20"/>
              </w:rPr>
            </w:pPr>
            <w:r w:rsidRPr="0012038C">
              <w:rPr>
                <w:rFonts w:cs="Arial"/>
                <w:color w:val="000000"/>
                <w:szCs w:val="20"/>
              </w:rPr>
              <w:t xml:space="preserve">Totaal geborgd verliesbedrag (A)* </w:t>
            </w:r>
          </w:p>
        </w:tc>
        <w:tc>
          <w:tcPr>
            <w:tcW w:w="1260" w:type="dxa"/>
            <w:tcBorders>
              <w:top w:val="nil"/>
              <w:left w:val="nil"/>
              <w:bottom w:val="nil"/>
              <w:right w:val="nil"/>
            </w:tcBorders>
            <w:shd w:val="clear" w:color="auto" w:fill="auto"/>
            <w:noWrap/>
            <w:vAlign w:val="bottom"/>
            <w:hideMark/>
          </w:tcPr>
          <w:p w14:paraId="51710972" w14:textId="77777777" w:rsidR="0012038C" w:rsidRPr="0012038C" w:rsidRDefault="0012038C" w:rsidP="0012038C">
            <w:pPr>
              <w:jc w:val="right"/>
              <w:rPr>
                <w:rFonts w:cs="Arial"/>
                <w:color w:val="000000"/>
                <w:szCs w:val="20"/>
              </w:rPr>
            </w:pPr>
            <w:r w:rsidRPr="0012038C">
              <w:rPr>
                <w:rFonts w:cs="Arial"/>
                <w:color w:val="000000"/>
                <w:szCs w:val="20"/>
              </w:rPr>
              <w:t>19,0</w:t>
            </w:r>
          </w:p>
        </w:tc>
        <w:tc>
          <w:tcPr>
            <w:tcW w:w="1260" w:type="dxa"/>
            <w:tcBorders>
              <w:top w:val="nil"/>
              <w:left w:val="nil"/>
              <w:bottom w:val="nil"/>
              <w:right w:val="nil"/>
            </w:tcBorders>
            <w:shd w:val="clear" w:color="auto" w:fill="auto"/>
            <w:noWrap/>
            <w:vAlign w:val="bottom"/>
            <w:hideMark/>
          </w:tcPr>
          <w:p w14:paraId="7884403D" w14:textId="77777777" w:rsidR="0012038C" w:rsidRPr="0012038C" w:rsidRDefault="0012038C" w:rsidP="0012038C">
            <w:pPr>
              <w:jc w:val="right"/>
              <w:rPr>
                <w:rFonts w:cs="Arial"/>
                <w:color w:val="000000"/>
                <w:szCs w:val="20"/>
              </w:rPr>
            </w:pPr>
            <w:r w:rsidRPr="0012038C">
              <w:rPr>
                <w:rFonts w:cs="Arial"/>
                <w:color w:val="000000"/>
                <w:szCs w:val="20"/>
              </w:rPr>
              <w:t>40,7</w:t>
            </w:r>
          </w:p>
        </w:tc>
        <w:tc>
          <w:tcPr>
            <w:tcW w:w="1260" w:type="dxa"/>
            <w:tcBorders>
              <w:top w:val="nil"/>
              <w:left w:val="nil"/>
              <w:bottom w:val="nil"/>
              <w:right w:val="nil"/>
            </w:tcBorders>
            <w:shd w:val="clear" w:color="auto" w:fill="auto"/>
            <w:noWrap/>
            <w:vAlign w:val="bottom"/>
            <w:hideMark/>
          </w:tcPr>
          <w:p w14:paraId="04A15E99" w14:textId="77777777" w:rsidR="0012038C" w:rsidRPr="0012038C" w:rsidRDefault="0012038C" w:rsidP="0012038C">
            <w:pPr>
              <w:jc w:val="right"/>
              <w:rPr>
                <w:rFonts w:cs="Arial"/>
                <w:color w:val="000000"/>
                <w:szCs w:val="20"/>
              </w:rPr>
            </w:pPr>
            <w:r w:rsidRPr="0012038C">
              <w:rPr>
                <w:rFonts w:cs="Arial"/>
                <w:color w:val="000000"/>
                <w:szCs w:val="20"/>
              </w:rPr>
              <w:t>108,7</w:t>
            </w:r>
          </w:p>
        </w:tc>
        <w:tc>
          <w:tcPr>
            <w:tcW w:w="1320" w:type="dxa"/>
            <w:tcBorders>
              <w:top w:val="nil"/>
              <w:left w:val="nil"/>
              <w:bottom w:val="nil"/>
              <w:right w:val="nil"/>
            </w:tcBorders>
            <w:shd w:val="clear" w:color="auto" w:fill="auto"/>
            <w:noWrap/>
            <w:vAlign w:val="bottom"/>
            <w:hideMark/>
          </w:tcPr>
          <w:p w14:paraId="3DB6BF91" w14:textId="77777777" w:rsidR="0012038C" w:rsidRPr="0012038C" w:rsidRDefault="0012038C" w:rsidP="0012038C">
            <w:pPr>
              <w:jc w:val="right"/>
              <w:rPr>
                <w:rFonts w:cs="Arial"/>
                <w:color w:val="000000"/>
                <w:szCs w:val="20"/>
              </w:rPr>
            </w:pPr>
            <w:r w:rsidRPr="0012038C">
              <w:rPr>
                <w:rFonts w:cs="Arial"/>
                <w:color w:val="000000"/>
                <w:szCs w:val="20"/>
              </w:rPr>
              <w:t>168,4</w:t>
            </w:r>
          </w:p>
        </w:tc>
        <w:tc>
          <w:tcPr>
            <w:tcW w:w="960" w:type="dxa"/>
            <w:tcBorders>
              <w:top w:val="nil"/>
              <w:left w:val="nil"/>
              <w:bottom w:val="nil"/>
              <w:right w:val="nil"/>
            </w:tcBorders>
            <w:shd w:val="clear" w:color="auto" w:fill="auto"/>
            <w:noWrap/>
            <w:vAlign w:val="bottom"/>
            <w:hideMark/>
          </w:tcPr>
          <w:p w14:paraId="26DFE90E" w14:textId="77777777" w:rsidR="0012038C" w:rsidRPr="0012038C" w:rsidRDefault="0012038C" w:rsidP="0012038C">
            <w:pPr>
              <w:jc w:val="right"/>
              <w:rPr>
                <w:rFonts w:cs="Arial"/>
                <w:color w:val="000000"/>
                <w:szCs w:val="20"/>
              </w:rPr>
            </w:pPr>
          </w:p>
        </w:tc>
      </w:tr>
      <w:tr w:rsidR="0012038C" w:rsidRPr="0012038C" w14:paraId="04978F8A" w14:textId="77777777" w:rsidTr="0012038C">
        <w:trPr>
          <w:trHeight w:val="255"/>
        </w:trPr>
        <w:tc>
          <w:tcPr>
            <w:tcW w:w="4920" w:type="dxa"/>
            <w:tcBorders>
              <w:top w:val="nil"/>
              <w:left w:val="nil"/>
              <w:bottom w:val="nil"/>
              <w:right w:val="nil"/>
            </w:tcBorders>
            <w:shd w:val="clear" w:color="auto" w:fill="auto"/>
            <w:noWrap/>
            <w:vAlign w:val="bottom"/>
            <w:hideMark/>
          </w:tcPr>
          <w:p w14:paraId="51D0829E" w14:textId="77777777" w:rsidR="0012038C" w:rsidRPr="0012038C" w:rsidRDefault="0012038C" w:rsidP="0012038C">
            <w:pPr>
              <w:rPr>
                <w:rFonts w:cs="Arial"/>
                <w:color w:val="000000"/>
                <w:szCs w:val="20"/>
              </w:rPr>
            </w:pPr>
            <w:r w:rsidRPr="0012038C">
              <w:rPr>
                <w:rFonts w:cs="Arial"/>
                <w:color w:val="000000"/>
                <w:szCs w:val="20"/>
              </w:rPr>
              <w:t>Totaal uitgekeerd verliesbedrag (B) *</w:t>
            </w:r>
          </w:p>
        </w:tc>
        <w:tc>
          <w:tcPr>
            <w:tcW w:w="1260" w:type="dxa"/>
            <w:tcBorders>
              <w:top w:val="nil"/>
              <w:left w:val="nil"/>
              <w:bottom w:val="nil"/>
              <w:right w:val="nil"/>
            </w:tcBorders>
            <w:shd w:val="clear" w:color="auto" w:fill="auto"/>
            <w:noWrap/>
            <w:vAlign w:val="bottom"/>
            <w:hideMark/>
          </w:tcPr>
          <w:p w14:paraId="472FBA0B" w14:textId="77777777" w:rsidR="0012038C" w:rsidRPr="0012038C" w:rsidRDefault="0012038C" w:rsidP="0012038C">
            <w:pPr>
              <w:jc w:val="right"/>
              <w:rPr>
                <w:rFonts w:cs="Arial"/>
                <w:color w:val="000000"/>
                <w:szCs w:val="20"/>
              </w:rPr>
            </w:pPr>
            <w:r w:rsidRPr="0012038C">
              <w:rPr>
                <w:rFonts w:cs="Arial"/>
                <w:color w:val="000000"/>
                <w:szCs w:val="20"/>
              </w:rPr>
              <w:t>18,0</w:t>
            </w:r>
          </w:p>
        </w:tc>
        <w:tc>
          <w:tcPr>
            <w:tcW w:w="1260" w:type="dxa"/>
            <w:tcBorders>
              <w:top w:val="nil"/>
              <w:left w:val="nil"/>
              <w:bottom w:val="nil"/>
              <w:right w:val="nil"/>
            </w:tcBorders>
            <w:shd w:val="clear" w:color="auto" w:fill="auto"/>
            <w:noWrap/>
            <w:vAlign w:val="bottom"/>
            <w:hideMark/>
          </w:tcPr>
          <w:p w14:paraId="0D011F40" w14:textId="77777777" w:rsidR="0012038C" w:rsidRPr="0012038C" w:rsidRDefault="0012038C" w:rsidP="0012038C">
            <w:pPr>
              <w:jc w:val="right"/>
              <w:rPr>
                <w:rFonts w:cs="Arial"/>
                <w:color w:val="000000"/>
                <w:szCs w:val="20"/>
              </w:rPr>
            </w:pPr>
            <w:r w:rsidRPr="0012038C">
              <w:rPr>
                <w:rFonts w:cs="Arial"/>
                <w:color w:val="000000"/>
                <w:szCs w:val="20"/>
              </w:rPr>
              <w:t>38,0</w:t>
            </w:r>
          </w:p>
        </w:tc>
        <w:tc>
          <w:tcPr>
            <w:tcW w:w="1260" w:type="dxa"/>
            <w:tcBorders>
              <w:top w:val="nil"/>
              <w:left w:val="nil"/>
              <w:bottom w:val="nil"/>
              <w:right w:val="nil"/>
            </w:tcBorders>
            <w:shd w:val="clear" w:color="auto" w:fill="auto"/>
            <w:noWrap/>
            <w:vAlign w:val="bottom"/>
            <w:hideMark/>
          </w:tcPr>
          <w:p w14:paraId="7F189943" w14:textId="77777777" w:rsidR="0012038C" w:rsidRPr="0012038C" w:rsidRDefault="0012038C" w:rsidP="0012038C">
            <w:pPr>
              <w:jc w:val="right"/>
              <w:rPr>
                <w:rFonts w:cs="Arial"/>
                <w:color w:val="000000"/>
                <w:szCs w:val="20"/>
              </w:rPr>
            </w:pPr>
            <w:r w:rsidRPr="0012038C">
              <w:rPr>
                <w:rFonts w:cs="Arial"/>
                <w:color w:val="000000"/>
                <w:szCs w:val="20"/>
              </w:rPr>
              <w:t>101,0</w:t>
            </w:r>
          </w:p>
        </w:tc>
        <w:tc>
          <w:tcPr>
            <w:tcW w:w="1320" w:type="dxa"/>
            <w:tcBorders>
              <w:top w:val="nil"/>
              <w:left w:val="nil"/>
              <w:bottom w:val="nil"/>
              <w:right w:val="nil"/>
            </w:tcBorders>
            <w:shd w:val="clear" w:color="auto" w:fill="auto"/>
            <w:noWrap/>
            <w:vAlign w:val="bottom"/>
            <w:hideMark/>
          </w:tcPr>
          <w:p w14:paraId="6DBC9653" w14:textId="77777777" w:rsidR="0012038C" w:rsidRPr="0012038C" w:rsidRDefault="0012038C" w:rsidP="0012038C">
            <w:pPr>
              <w:jc w:val="right"/>
              <w:rPr>
                <w:rFonts w:cs="Arial"/>
                <w:color w:val="000000"/>
                <w:szCs w:val="20"/>
              </w:rPr>
            </w:pPr>
            <w:r w:rsidRPr="0012038C">
              <w:rPr>
                <w:rFonts w:cs="Arial"/>
                <w:color w:val="000000"/>
                <w:szCs w:val="20"/>
              </w:rPr>
              <w:t>157,8</w:t>
            </w:r>
          </w:p>
        </w:tc>
        <w:tc>
          <w:tcPr>
            <w:tcW w:w="960" w:type="dxa"/>
            <w:tcBorders>
              <w:top w:val="nil"/>
              <w:left w:val="nil"/>
              <w:bottom w:val="nil"/>
              <w:right w:val="nil"/>
            </w:tcBorders>
            <w:shd w:val="clear" w:color="auto" w:fill="auto"/>
            <w:noWrap/>
            <w:vAlign w:val="bottom"/>
            <w:hideMark/>
          </w:tcPr>
          <w:p w14:paraId="76DFD912" w14:textId="77777777" w:rsidR="0012038C" w:rsidRPr="0012038C" w:rsidRDefault="0012038C" w:rsidP="0012038C">
            <w:pPr>
              <w:jc w:val="right"/>
              <w:rPr>
                <w:rFonts w:cs="Arial"/>
                <w:color w:val="000000"/>
                <w:szCs w:val="20"/>
              </w:rPr>
            </w:pPr>
          </w:p>
        </w:tc>
      </w:tr>
      <w:tr w:rsidR="0012038C" w:rsidRPr="0012038C" w14:paraId="43B4F226" w14:textId="77777777" w:rsidTr="0012038C">
        <w:trPr>
          <w:trHeight w:val="255"/>
        </w:trPr>
        <w:tc>
          <w:tcPr>
            <w:tcW w:w="4920" w:type="dxa"/>
            <w:tcBorders>
              <w:top w:val="nil"/>
              <w:left w:val="nil"/>
              <w:bottom w:val="nil"/>
              <w:right w:val="nil"/>
            </w:tcBorders>
            <w:shd w:val="clear" w:color="auto" w:fill="auto"/>
            <w:noWrap/>
            <w:vAlign w:val="bottom"/>
            <w:hideMark/>
          </w:tcPr>
          <w:p w14:paraId="456A4852" w14:textId="77777777" w:rsidR="0012038C" w:rsidRPr="0012038C" w:rsidRDefault="0012038C" w:rsidP="0012038C">
            <w:pPr>
              <w:rPr>
                <w:rFonts w:cs="Arial"/>
                <w:color w:val="000000"/>
                <w:szCs w:val="20"/>
              </w:rPr>
            </w:pPr>
            <w:r w:rsidRPr="0012038C">
              <w:rPr>
                <w:rFonts w:cs="Arial"/>
                <w:color w:val="000000"/>
                <w:szCs w:val="20"/>
              </w:rPr>
              <w:t>Gem. uitgekeerd verliesbedrag in €</w:t>
            </w:r>
          </w:p>
        </w:tc>
        <w:tc>
          <w:tcPr>
            <w:tcW w:w="1260" w:type="dxa"/>
            <w:tcBorders>
              <w:top w:val="nil"/>
              <w:left w:val="nil"/>
              <w:bottom w:val="nil"/>
              <w:right w:val="nil"/>
            </w:tcBorders>
            <w:shd w:val="clear" w:color="auto" w:fill="auto"/>
            <w:noWrap/>
            <w:vAlign w:val="bottom"/>
            <w:hideMark/>
          </w:tcPr>
          <w:p w14:paraId="19654B8E" w14:textId="77777777" w:rsidR="0012038C" w:rsidRPr="0012038C" w:rsidRDefault="0012038C" w:rsidP="0012038C">
            <w:pPr>
              <w:jc w:val="right"/>
              <w:rPr>
                <w:rFonts w:cs="Arial"/>
                <w:color w:val="000000"/>
                <w:szCs w:val="20"/>
              </w:rPr>
            </w:pPr>
            <w:r w:rsidRPr="0012038C">
              <w:rPr>
                <w:rFonts w:cs="Arial"/>
                <w:color w:val="000000"/>
                <w:szCs w:val="20"/>
              </w:rPr>
              <w:t>31.230</w:t>
            </w:r>
          </w:p>
        </w:tc>
        <w:tc>
          <w:tcPr>
            <w:tcW w:w="1260" w:type="dxa"/>
            <w:tcBorders>
              <w:top w:val="nil"/>
              <w:left w:val="nil"/>
              <w:bottom w:val="nil"/>
              <w:right w:val="nil"/>
            </w:tcBorders>
            <w:shd w:val="clear" w:color="auto" w:fill="auto"/>
            <w:noWrap/>
            <w:vAlign w:val="bottom"/>
            <w:hideMark/>
          </w:tcPr>
          <w:p w14:paraId="5E10514A" w14:textId="77777777" w:rsidR="0012038C" w:rsidRPr="0012038C" w:rsidRDefault="0012038C" w:rsidP="0012038C">
            <w:pPr>
              <w:jc w:val="right"/>
              <w:rPr>
                <w:rFonts w:cs="Arial"/>
                <w:color w:val="000000"/>
                <w:szCs w:val="20"/>
              </w:rPr>
            </w:pPr>
            <w:r w:rsidRPr="0012038C">
              <w:rPr>
                <w:rFonts w:cs="Arial"/>
                <w:color w:val="000000"/>
                <w:szCs w:val="20"/>
              </w:rPr>
              <w:t>39.453</w:t>
            </w:r>
          </w:p>
        </w:tc>
        <w:tc>
          <w:tcPr>
            <w:tcW w:w="1260" w:type="dxa"/>
            <w:tcBorders>
              <w:top w:val="nil"/>
              <w:left w:val="nil"/>
              <w:bottom w:val="nil"/>
              <w:right w:val="nil"/>
            </w:tcBorders>
            <w:shd w:val="clear" w:color="auto" w:fill="auto"/>
            <w:noWrap/>
            <w:vAlign w:val="bottom"/>
            <w:hideMark/>
          </w:tcPr>
          <w:p w14:paraId="330B6165" w14:textId="77777777" w:rsidR="0012038C" w:rsidRPr="0012038C" w:rsidRDefault="0012038C" w:rsidP="0012038C">
            <w:pPr>
              <w:jc w:val="right"/>
              <w:rPr>
                <w:rFonts w:cs="Arial"/>
                <w:color w:val="000000"/>
                <w:szCs w:val="20"/>
              </w:rPr>
            </w:pPr>
            <w:r w:rsidRPr="0012038C">
              <w:rPr>
                <w:rFonts w:cs="Arial"/>
                <w:color w:val="000000"/>
                <w:szCs w:val="20"/>
              </w:rPr>
              <w:t>33.997</w:t>
            </w:r>
          </w:p>
        </w:tc>
        <w:tc>
          <w:tcPr>
            <w:tcW w:w="1320" w:type="dxa"/>
            <w:tcBorders>
              <w:top w:val="nil"/>
              <w:left w:val="nil"/>
              <w:bottom w:val="nil"/>
              <w:right w:val="nil"/>
            </w:tcBorders>
            <w:shd w:val="clear" w:color="auto" w:fill="auto"/>
            <w:noWrap/>
            <w:vAlign w:val="bottom"/>
            <w:hideMark/>
          </w:tcPr>
          <w:p w14:paraId="56A42D8A" w14:textId="77777777" w:rsidR="0012038C" w:rsidRPr="0012038C" w:rsidRDefault="0012038C" w:rsidP="0012038C">
            <w:pPr>
              <w:jc w:val="right"/>
              <w:rPr>
                <w:rFonts w:cs="Arial"/>
                <w:color w:val="000000"/>
                <w:szCs w:val="20"/>
              </w:rPr>
            </w:pPr>
            <w:r w:rsidRPr="0012038C">
              <w:rPr>
                <w:rFonts w:cs="Arial"/>
                <w:color w:val="000000"/>
                <w:szCs w:val="20"/>
              </w:rPr>
              <w:t>39.339</w:t>
            </w:r>
          </w:p>
        </w:tc>
        <w:tc>
          <w:tcPr>
            <w:tcW w:w="960" w:type="dxa"/>
            <w:tcBorders>
              <w:top w:val="nil"/>
              <w:left w:val="nil"/>
              <w:bottom w:val="nil"/>
              <w:right w:val="nil"/>
            </w:tcBorders>
            <w:shd w:val="clear" w:color="auto" w:fill="auto"/>
            <w:noWrap/>
            <w:vAlign w:val="bottom"/>
            <w:hideMark/>
          </w:tcPr>
          <w:p w14:paraId="7373FCC4" w14:textId="77777777" w:rsidR="0012038C" w:rsidRPr="0012038C" w:rsidRDefault="0012038C" w:rsidP="0012038C">
            <w:pPr>
              <w:jc w:val="right"/>
              <w:rPr>
                <w:rFonts w:cs="Arial"/>
                <w:color w:val="000000"/>
                <w:szCs w:val="20"/>
              </w:rPr>
            </w:pPr>
          </w:p>
        </w:tc>
      </w:tr>
      <w:tr w:rsidR="0012038C" w:rsidRPr="0012038C" w14:paraId="39A03C0E" w14:textId="77777777" w:rsidTr="0012038C">
        <w:trPr>
          <w:trHeight w:val="255"/>
        </w:trPr>
        <w:tc>
          <w:tcPr>
            <w:tcW w:w="4920" w:type="dxa"/>
            <w:tcBorders>
              <w:top w:val="nil"/>
              <w:left w:val="nil"/>
              <w:bottom w:val="single" w:sz="4" w:space="0" w:color="auto"/>
              <w:right w:val="nil"/>
            </w:tcBorders>
            <w:shd w:val="clear" w:color="auto" w:fill="auto"/>
            <w:noWrap/>
            <w:vAlign w:val="bottom"/>
            <w:hideMark/>
          </w:tcPr>
          <w:p w14:paraId="0FBA7AE4" w14:textId="77777777" w:rsidR="0012038C" w:rsidRPr="0012038C" w:rsidRDefault="0012038C" w:rsidP="0012038C">
            <w:pPr>
              <w:rPr>
                <w:rFonts w:cs="Arial"/>
                <w:color w:val="000000"/>
                <w:szCs w:val="20"/>
                <w:lang w:val="en-US"/>
              </w:rPr>
            </w:pPr>
            <w:r w:rsidRPr="0012038C">
              <w:rPr>
                <w:rFonts w:cs="Arial"/>
                <w:color w:val="000000"/>
                <w:szCs w:val="20"/>
                <w:lang w:val="en-US"/>
              </w:rPr>
              <w:t>Pay-out ratio (B/A)</w:t>
            </w:r>
          </w:p>
        </w:tc>
        <w:tc>
          <w:tcPr>
            <w:tcW w:w="1260" w:type="dxa"/>
            <w:tcBorders>
              <w:top w:val="nil"/>
              <w:left w:val="nil"/>
              <w:bottom w:val="single" w:sz="4" w:space="0" w:color="auto"/>
              <w:right w:val="nil"/>
            </w:tcBorders>
            <w:shd w:val="clear" w:color="auto" w:fill="auto"/>
            <w:noWrap/>
            <w:vAlign w:val="bottom"/>
            <w:hideMark/>
          </w:tcPr>
          <w:p w14:paraId="00094391" w14:textId="77777777" w:rsidR="0012038C" w:rsidRPr="0012038C" w:rsidRDefault="0012038C" w:rsidP="0012038C">
            <w:pPr>
              <w:jc w:val="right"/>
              <w:rPr>
                <w:rFonts w:cs="Arial"/>
                <w:color w:val="000000"/>
                <w:szCs w:val="20"/>
              </w:rPr>
            </w:pPr>
            <w:r w:rsidRPr="0012038C">
              <w:rPr>
                <w:rFonts w:cs="Arial"/>
                <w:color w:val="000000"/>
                <w:szCs w:val="20"/>
              </w:rPr>
              <w:t>94,8%</w:t>
            </w:r>
          </w:p>
        </w:tc>
        <w:tc>
          <w:tcPr>
            <w:tcW w:w="1260" w:type="dxa"/>
            <w:tcBorders>
              <w:top w:val="nil"/>
              <w:left w:val="nil"/>
              <w:bottom w:val="single" w:sz="4" w:space="0" w:color="auto"/>
              <w:right w:val="nil"/>
            </w:tcBorders>
            <w:shd w:val="clear" w:color="auto" w:fill="auto"/>
            <w:noWrap/>
            <w:vAlign w:val="bottom"/>
            <w:hideMark/>
          </w:tcPr>
          <w:p w14:paraId="7E71B0C4" w14:textId="77777777" w:rsidR="0012038C" w:rsidRPr="0012038C" w:rsidRDefault="0012038C" w:rsidP="0012038C">
            <w:pPr>
              <w:jc w:val="right"/>
              <w:rPr>
                <w:rFonts w:cs="Arial"/>
                <w:color w:val="000000"/>
                <w:szCs w:val="20"/>
              </w:rPr>
            </w:pPr>
            <w:r w:rsidRPr="0012038C">
              <w:rPr>
                <w:rFonts w:cs="Arial"/>
                <w:color w:val="000000"/>
                <w:szCs w:val="20"/>
              </w:rPr>
              <w:t>93,3%</w:t>
            </w:r>
          </w:p>
        </w:tc>
        <w:tc>
          <w:tcPr>
            <w:tcW w:w="1260" w:type="dxa"/>
            <w:tcBorders>
              <w:top w:val="nil"/>
              <w:left w:val="nil"/>
              <w:bottom w:val="single" w:sz="4" w:space="0" w:color="auto"/>
              <w:right w:val="nil"/>
            </w:tcBorders>
            <w:shd w:val="clear" w:color="auto" w:fill="auto"/>
            <w:noWrap/>
            <w:vAlign w:val="bottom"/>
            <w:hideMark/>
          </w:tcPr>
          <w:p w14:paraId="6A975E04" w14:textId="77777777" w:rsidR="0012038C" w:rsidRPr="0012038C" w:rsidRDefault="0012038C" w:rsidP="0012038C">
            <w:pPr>
              <w:jc w:val="right"/>
              <w:rPr>
                <w:rFonts w:cs="Arial"/>
                <w:color w:val="000000"/>
                <w:szCs w:val="20"/>
              </w:rPr>
            </w:pPr>
            <w:r w:rsidRPr="0012038C">
              <w:rPr>
                <w:rFonts w:cs="Arial"/>
                <w:color w:val="000000"/>
                <w:szCs w:val="20"/>
              </w:rPr>
              <w:t>93,0%</w:t>
            </w:r>
          </w:p>
        </w:tc>
        <w:tc>
          <w:tcPr>
            <w:tcW w:w="1320" w:type="dxa"/>
            <w:tcBorders>
              <w:top w:val="nil"/>
              <w:left w:val="nil"/>
              <w:bottom w:val="single" w:sz="4" w:space="0" w:color="auto"/>
              <w:right w:val="nil"/>
            </w:tcBorders>
            <w:shd w:val="clear" w:color="auto" w:fill="auto"/>
            <w:noWrap/>
            <w:vAlign w:val="bottom"/>
            <w:hideMark/>
          </w:tcPr>
          <w:p w14:paraId="4BFEAF05" w14:textId="77777777" w:rsidR="0012038C" w:rsidRPr="0012038C" w:rsidRDefault="0012038C" w:rsidP="0012038C">
            <w:pPr>
              <w:jc w:val="right"/>
              <w:rPr>
                <w:rFonts w:cs="Arial"/>
                <w:color w:val="000000"/>
                <w:szCs w:val="20"/>
              </w:rPr>
            </w:pPr>
            <w:r w:rsidRPr="0012038C">
              <w:rPr>
                <w:rFonts w:cs="Arial"/>
                <w:color w:val="000000"/>
                <w:szCs w:val="20"/>
              </w:rPr>
              <w:t>93,7%</w:t>
            </w:r>
          </w:p>
        </w:tc>
        <w:tc>
          <w:tcPr>
            <w:tcW w:w="960" w:type="dxa"/>
            <w:tcBorders>
              <w:top w:val="nil"/>
              <w:left w:val="nil"/>
              <w:bottom w:val="nil"/>
              <w:right w:val="nil"/>
            </w:tcBorders>
            <w:shd w:val="clear" w:color="auto" w:fill="auto"/>
            <w:noWrap/>
            <w:vAlign w:val="bottom"/>
            <w:hideMark/>
          </w:tcPr>
          <w:p w14:paraId="048D3E6B" w14:textId="77777777" w:rsidR="0012038C" w:rsidRPr="0012038C" w:rsidRDefault="0012038C" w:rsidP="0012038C">
            <w:pPr>
              <w:jc w:val="right"/>
              <w:rPr>
                <w:rFonts w:cs="Arial"/>
                <w:color w:val="000000"/>
                <w:szCs w:val="20"/>
              </w:rPr>
            </w:pPr>
          </w:p>
        </w:tc>
      </w:tr>
      <w:tr w:rsidR="0012038C" w:rsidRPr="0012038C" w14:paraId="4330C20F" w14:textId="77777777" w:rsidTr="0012038C">
        <w:trPr>
          <w:trHeight w:val="255"/>
        </w:trPr>
        <w:tc>
          <w:tcPr>
            <w:tcW w:w="4920" w:type="dxa"/>
            <w:tcBorders>
              <w:top w:val="nil"/>
              <w:left w:val="nil"/>
              <w:bottom w:val="nil"/>
              <w:right w:val="nil"/>
            </w:tcBorders>
            <w:shd w:val="clear" w:color="auto" w:fill="auto"/>
            <w:noWrap/>
            <w:vAlign w:val="bottom"/>
            <w:hideMark/>
          </w:tcPr>
          <w:p w14:paraId="532CACDE" w14:textId="77777777" w:rsidR="0012038C" w:rsidRPr="0012038C" w:rsidRDefault="0012038C" w:rsidP="0012038C">
            <w:pPr>
              <w:rPr>
                <w:rFonts w:cs="Arial"/>
                <w:color w:val="000000"/>
                <w:szCs w:val="20"/>
              </w:rPr>
            </w:pPr>
            <w:r w:rsidRPr="0012038C">
              <w:rPr>
                <w:rFonts w:cs="Arial"/>
                <w:color w:val="000000"/>
                <w:szCs w:val="20"/>
              </w:rPr>
              <w:t>*o.b.v. gehonoreerde verliesdeclaraties (x € 1.000.000)</w:t>
            </w:r>
          </w:p>
        </w:tc>
        <w:tc>
          <w:tcPr>
            <w:tcW w:w="1260" w:type="dxa"/>
            <w:tcBorders>
              <w:top w:val="nil"/>
              <w:left w:val="nil"/>
              <w:bottom w:val="nil"/>
              <w:right w:val="nil"/>
            </w:tcBorders>
            <w:shd w:val="clear" w:color="auto" w:fill="auto"/>
            <w:noWrap/>
            <w:vAlign w:val="bottom"/>
            <w:hideMark/>
          </w:tcPr>
          <w:p w14:paraId="73F09AEF" w14:textId="77777777" w:rsidR="0012038C" w:rsidRPr="0012038C" w:rsidRDefault="0012038C" w:rsidP="0012038C">
            <w:pPr>
              <w:rPr>
                <w:rFonts w:cs="Arial"/>
                <w:color w:val="000000"/>
                <w:szCs w:val="20"/>
              </w:rPr>
            </w:pPr>
          </w:p>
        </w:tc>
        <w:tc>
          <w:tcPr>
            <w:tcW w:w="1260" w:type="dxa"/>
            <w:tcBorders>
              <w:top w:val="nil"/>
              <w:left w:val="nil"/>
              <w:bottom w:val="nil"/>
              <w:right w:val="nil"/>
            </w:tcBorders>
            <w:shd w:val="clear" w:color="auto" w:fill="auto"/>
            <w:noWrap/>
            <w:vAlign w:val="bottom"/>
            <w:hideMark/>
          </w:tcPr>
          <w:p w14:paraId="7074BE4E" w14:textId="77777777" w:rsidR="0012038C" w:rsidRPr="0012038C" w:rsidRDefault="0012038C" w:rsidP="0012038C">
            <w:pPr>
              <w:rPr>
                <w:rFonts w:ascii="Times New Roman" w:hAnsi="Times New Roman"/>
                <w:szCs w:val="20"/>
              </w:rPr>
            </w:pPr>
          </w:p>
        </w:tc>
        <w:tc>
          <w:tcPr>
            <w:tcW w:w="1260" w:type="dxa"/>
            <w:tcBorders>
              <w:top w:val="nil"/>
              <w:left w:val="nil"/>
              <w:bottom w:val="nil"/>
              <w:right w:val="nil"/>
            </w:tcBorders>
            <w:shd w:val="clear" w:color="auto" w:fill="auto"/>
            <w:noWrap/>
            <w:vAlign w:val="bottom"/>
            <w:hideMark/>
          </w:tcPr>
          <w:p w14:paraId="49B59D5D" w14:textId="77777777" w:rsidR="0012038C" w:rsidRPr="0012038C" w:rsidRDefault="0012038C" w:rsidP="0012038C">
            <w:pPr>
              <w:rPr>
                <w:rFonts w:ascii="Times New Roman" w:hAnsi="Times New Roman"/>
                <w:szCs w:val="20"/>
              </w:rPr>
            </w:pPr>
          </w:p>
        </w:tc>
        <w:tc>
          <w:tcPr>
            <w:tcW w:w="1320" w:type="dxa"/>
            <w:tcBorders>
              <w:top w:val="nil"/>
              <w:left w:val="nil"/>
              <w:bottom w:val="nil"/>
              <w:right w:val="nil"/>
            </w:tcBorders>
            <w:shd w:val="clear" w:color="auto" w:fill="auto"/>
            <w:noWrap/>
            <w:vAlign w:val="bottom"/>
            <w:hideMark/>
          </w:tcPr>
          <w:p w14:paraId="5762C955" w14:textId="77777777" w:rsidR="0012038C" w:rsidRPr="0012038C" w:rsidRDefault="0012038C" w:rsidP="0012038C">
            <w:pPr>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03D2A5D6" w14:textId="77777777" w:rsidR="0012038C" w:rsidRPr="0012038C" w:rsidRDefault="0012038C" w:rsidP="0012038C">
            <w:pPr>
              <w:rPr>
                <w:rFonts w:ascii="Times New Roman" w:hAnsi="Times New Roman"/>
                <w:szCs w:val="20"/>
              </w:rPr>
            </w:pPr>
          </w:p>
        </w:tc>
      </w:tr>
    </w:tbl>
    <w:p w14:paraId="374328B0" w14:textId="3220D872" w:rsidR="00FE518F" w:rsidRPr="000D34B7" w:rsidRDefault="00FE518F" w:rsidP="005B526A">
      <w:pPr>
        <w:rPr>
          <w:rStyle w:val="Kop1Char"/>
          <w:rFonts w:ascii="Arial" w:hAnsi="Arial" w:cs="Arial"/>
          <w:color w:val="auto"/>
          <w:sz w:val="20"/>
          <w:szCs w:val="20"/>
        </w:rPr>
      </w:pPr>
    </w:p>
    <w:p w14:paraId="267CC48D" w14:textId="77777777" w:rsidR="000D34B7" w:rsidRDefault="000D34B7" w:rsidP="004026F7">
      <w:pPr>
        <w:rPr>
          <w:rStyle w:val="Kop1Char"/>
          <w:rFonts w:ascii="Arial" w:hAnsi="Arial" w:cs="Arial"/>
          <w:b w:val="0"/>
          <w:color w:val="auto"/>
          <w:sz w:val="20"/>
          <w:szCs w:val="20"/>
          <w:u w:val="single"/>
        </w:rPr>
      </w:pPr>
    </w:p>
    <w:p w14:paraId="1B8D1C2F" w14:textId="77777777" w:rsidR="005B526A" w:rsidRPr="006A501A" w:rsidRDefault="004026F7" w:rsidP="004026F7">
      <w:pPr>
        <w:rPr>
          <w:rStyle w:val="Kop1Char"/>
          <w:rFonts w:ascii="Arial" w:hAnsi="Arial" w:cs="Arial"/>
          <w:color w:val="auto"/>
          <w:sz w:val="20"/>
          <w:szCs w:val="20"/>
        </w:rPr>
      </w:pPr>
      <w:proofErr w:type="spellStart"/>
      <w:r w:rsidRPr="006A501A">
        <w:rPr>
          <w:rStyle w:val="Kop1Char"/>
          <w:rFonts w:ascii="Arial" w:hAnsi="Arial" w:cs="Arial"/>
          <w:color w:val="auto"/>
          <w:sz w:val="20"/>
          <w:szCs w:val="20"/>
          <w:u w:val="single"/>
        </w:rPr>
        <w:t>Linkerkolom</w:t>
      </w:r>
      <w:proofErr w:type="spellEnd"/>
      <w:r w:rsidRPr="006A501A">
        <w:rPr>
          <w:rStyle w:val="Kop1Char"/>
          <w:rFonts w:ascii="Arial" w:hAnsi="Arial" w:cs="Arial"/>
          <w:color w:val="auto"/>
          <w:sz w:val="20"/>
          <w:szCs w:val="20"/>
        </w:rPr>
        <w:t xml:space="preserve">: </w:t>
      </w:r>
    </w:p>
    <w:p w14:paraId="0F7EEB14" w14:textId="6D73AF43" w:rsidR="004026F7" w:rsidRDefault="000D4F3D" w:rsidP="004026F7">
      <w:pPr>
        <w:rPr>
          <w:rFonts w:cs="Arial"/>
          <w:szCs w:val="20"/>
        </w:rPr>
      </w:pPr>
      <w:r w:rsidRPr="006D3D33">
        <w:rPr>
          <w:rFonts w:cs="Arial"/>
          <w:szCs w:val="20"/>
          <w:highlight w:val="lightGray"/>
        </w:rPr>
        <w:t>[</w:t>
      </w:r>
      <w:r w:rsidR="006A501A">
        <w:rPr>
          <w:rFonts w:cs="Arial"/>
          <w:szCs w:val="20"/>
          <w:highlight w:val="lightGray"/>
        </w:rPr>
        <w:t xml:space="preserve">tabel, </w:t>
      </w:r>
      <w:r w:rsidR="00B33CE8">
        <w:rPr>
          <w:rFonts w:cs="Arial"/>
          <w:szCs w:val="20"/>
          <w:highlight w:val="lightGray"/>
        </w:rPr>
        <w:t xml:space="preserve">80 </w:t>
      </w:r>
      <w:r>
        <w:rPr>
          <w:rFonts w:cs="Arial"/>
          <w:szCs w:val="20"/>
          <w:highlight w:val="lightGray"/>
        </w:rPr>
        <w:t>woorden</w:t>
      </w:r>
      <w:r w:rsidRPr="006D3D33">
        <w:rPr>
          <w:rFonts w:cs="Arial"/>
          <w:szCs w:val="20"/>
          <w:highlight w:val="lightGray"/>
        </w:rPr>
        <w:t>]</w:t>
      </w:r>
    </w:p>
    <w:p w14:paraId="130D13FE" w14:textId="77777777" w:rsidR="000F19F9" w:rsidRDefault="000F19F9" w:rsidP="004026F7">
      <w:pPr>
        <w:rPr>
          <w:rStyle w:val="Kop1Char"/>
          <w:rFonts w:ascii="Arial" w:hAnsi="Arial" w:cs="Arial"/>
          <w:i/>
          <w:color w:val="auto"/>
          <w:sz w:val="16"/>
          <w:szCs w:val="16"/>
        </w:rPr>
      </w:pPr>
    </w:p>
    <w:p w14:paraId="77C4B3D0" w14:textId="77777777" w:rsidR="00344327" w:rsidRPr="00344327" w:rsidRDefault="00344327" w:rsidP="000F39F2">
      <w:pPr>
        <w:rPr>
          <w:rStyle w:val="Kop1Char"/>
          <w:rFonts w:ascii="Arial" w:hAnsi="Arial" w:cs="Arial"/>
          <w:color w:val="auto"/>
          <w:sz w:val="20"/>
          <w:szCs w:val="20"/>
        </w:rPr>
      </w:pPr>
      <w:r w:rsidRPr="00344327">
        <w:rPr>
          <w:rStyle w:val="Kop1Char"/>
          <w:rFonts w:ascii="Arial" w:hAnsi="Arial" w:cs="Arial"/>
          <w:color w:val="auto"/>
          <w:sz w:val="20"/>
          <w:szCs w:val="20"/>
        </w:rPr>
        <w:t>Aantal verliesdeclaraties daalt</w:t>
      </w:r>
    </w:p>
    <w:p w14:paraId="1E2E5E32" w14:textId="7FBAC1B9" w:rsidR="000D78B2" w:rsidRPr="0012038C" w:rsidRDefault="0012038C" w:rsidP="0012038C">
      <w:r w:rsidRPr="0012038C">
        <w:t>In 2016 dienden geldverstrekkers in totaal 22 procent minder verliesdeclaraties in bij het WEW dan in 2015. De afname wordt gedreven door het economisch herstel, stijgende woningprijzen, lage hypotheekrentes en extra aflossingen op hypotheken. Daarnaast zijn de gezamenlijke inspanningen van geldverstrekkers en het WEW op het gebied van beheer flink verbeterd. Ook nemen consumenten sneller contact op met hun geldverstrekker als de hypotheek op een gegeven moment lastig betaalbaar wordt of dreigt te worden. Hierdoor wordt vaker een oplossing gevonden voor duurzaam woningbehoud en worden verkopen met verlies voorkomen.</w:t>
      </w:r>
    </w:p>
    <w:p w14:paraId="55D66A78" w14:textId="77777777" w:rsidR="00510609" w:rsidRPr="000F39F2" w:rsidRDefault="00510609" w:rsidP="000F39F2">
      <w:pPr>
        <w:rPr>
          <w:rFonts w:eastAsiaTheme="majorEastAsia" w:cs="Arial"/>
          <w:bCs/>
          <w:szCs w:val="20"/>
        </w:rPr>
      </w:pPr>
    </w:p>
    <w:p w14:paraId="1DBF59C2" w14:textId="7624129A" w:rsidR="00797F39" w:rsidRDefault="00797F39">
      <w:pPr>
        <w:rPr>
          <w:rStyle w:val="Kop1Char"/>
          <w:rFonts w:ascii="Arial" w:hAnsi="Arial" w:cs="Arial"/>
          <w:color w:val="auto"/>
          <w:sz w:val="20"/>
          <w:szCs w:val="20"/>
          <w:u w:val="single"/>
        </w:rPr>
      </w:pPr>
      <w:r>
        <w:rPr>
          <w:rStyle w:val="Kop1Char"/>
          <w:rFonts w:ascii="Arial" w:hAnsi="Arial" w:cs="Arial"/>
          <w:color w:val="auto"/>
          <w:sz w:val="20"/>
          <w:szCs w:val="20"/>
          <w:u w:val="single"/>
        </w:rPr>
        <w:br w:type="page"/>
      </w:r>
      <w:r w:rsidR="00B33CE8">
        <w:rPr>
          <w:rStyle w:val="Kop1Char"/>
          <w:rFonts w:ascii="Arial" w:hAnsi="Arial" w:cs="Arial"/>
          <w:color w:val="auto"/>
          <w:sz w:val="20"/>
          <w:szCs w:val="20"/>
          <w:u w:val="single"/>
        </w:rPr>
        <w:lastRenderedPageBreak/>
        <w:t xml:space="preserve"> </w:t>
      </w:r>
    </w:p>
    <w:p w14:paraId="50E32AFC" w14:textId="77777777" w:rsidR="004026F7" w:rsidRPr="008E6430" w:rsidRDefault="004026F7" w:rsidP="004026F7">
      <w:pPr>
        <w:rPr>
          <w:rStyle w:val="Kop1Char"/>
          <w:rFonts w:ascii="Arial" w:hAnsi="Arial" w:cs="Arial"/>
          <w:color w:val="auto"/>
          <w:sz w:val="20"/>
          <w:szCs w:val="20"/>
        </w:rPr>
      </w:pPr>
      <w:r w:rsidRPr="008E6430">
        <w:rPr>
          <w:rStyle w:val="Kop1Char"/>
          <w:rFonts w:ascii="Arial" w:hAnsi="Arial" w:cs="Arial"/>
          <w:color w:val="auto"/>
          <w:sz w:val="20"/>
          <w:szCs w:val="20"/>
          <w:u w:val="single"/>
        </w:rPr>
        <w:t>Rechterkolom</w:t>
      </w:r>
      <w:r w:rsidRPr="008E6430">
        <w:rPr>
          <w:rStyle w:val="Kop1Char"/>
          <w:rFonts w:ascii="Arial" w:hAnsi="Arial" w:cs="Arial"/>
          <w:color w:val="auto"/>
          <w:sz w:val="20"/>
          <w:szCs w:val="20"/>
        </w:rPr>
        <w:t xml:space="preserve">: </w:t>
      </w:r>
    </w:p>
    <w:p w14:paraId="35F4F8A3" w14:textId="77777777" w:rsidR="00797F39" w:rsidRDefault="00B14579" w:rsidP="00B14579">
      <w:pPr>
        <w:rPr>
          <w:rFonts w:cs="Arial"/>
          <w:szCs w:val="20"/>
        </w:rPr>
      </w:pPr>
      <w:r w:rsidRPr="006D3D33">
        <w:rPr>
          <w:rFonts w:cs="Arial"/>
          <w:szCs w:val="20"/>
          <w:highlight w:val="lightGray"/>
        </w:rPr>
        <w:t>[</w:t>
      </w:r>
      <w:r w:rsidR="00797F39">
        <w:rPr>
          <w:rFonts w:cs="Arial"/>
          <w:szCs w:val="20"/>
          <w:highlight w:val="lightGray"/>
        </w:rPr>
        <w:t>Figuur</w:t>
      </w:r>
      <w:r w:rsidR="005D64B0">
        <w:rPr>
          <w:rFonts w:cs="Arial"/>
          <w:szCs w:val="20"/>
          <w:highlight w:val="lightGray"/>
        </w:rPr>
        <w:t xml:space="preserve">, </w:t>
      </w:r>
      <w:r w:rsidR="005C71A0">
        <w:rPr>
          <w:rFonts w:cs="Arial"/>
          <w:szCs w:val="20"/>
          <w:highlight w:val="lightGray"/>
        </w:rPr>
        <w:t>75</w:t>
      </w:r>
      <w:r>
        <w:rPr>
          <w:rFonts w:cs="Arial"/>
          <w:szCs w:val="20"/>
          <w:highlight w:val="lightGray"/>
        </w:rPr>
        <w:t xml:space="preserve"> woorden</w:t>
      </w:r>
      <w:r w:rsidRPr="006D3D33">
        <w:rPr>
          <w:rFonts w:cs="Arial"/>
          <w:szCs w:val="20"/>
          <w:highlight w:val="lightGray"/>
        </w:rPr>
        <w:t>]</w:t>
      </w:r>
    </w:p>
    <w:p w14:paraId="11F35F0F" w14:textId="77777777" w:rsidR="00FD0CA0" w:rsidRDefault="00FD0CA0" w:rsidP="004026F7">
      <w:pPr>
        <w:rPr>
          <w:rStyle w:val="Kop1Char"/>
          <w:rFonts w:ascii="Arial" w:hAnsi="Arial" w:cs="Arial"/>
          <w:b w:val="0"/>
          <w:color w:val="auto"/>
          <w:sz w:val="20"/>
          <w:szCs w:val="20"/>
        </w:rPr>
      </w:pPr>
    </w:p>
    <w:p w14:paraId="3AA6C267" w14:textId="6E7D8870" w:rsidR="0012038C" w:rsidRPr="0012038C" w:rsidRDefault="0012038C" w:rsidP="004026F7">
      <w:pPr>
        <w:rPr>
          <w:rStyle w:val="Kop1Char"/>
          <w:rFonts w:ascii="Arial" w:hAnsi="Arial" w:cs="Arial"/>
          <w:color w:val="auto"/>
          <w:sz w:val="20"/>
          <w:szCs w:val="20"/>
        </w:rPr>
      </w:pPr>
      <w:r w:rsidRPr="0012038C">
        <w:rPr>
          <w:rStyle w:val="Kop1Char"/>
          <w:rFonts w:ascii="Arial" w:hAnsi="Arial" w:cs="Arial"/>
          <w:color w:val="auto"/>
          <w:sz w:val="20"/>
          <w:szCs w:val="20"/>
        </w:rPr>
        <w:t>Gemiddeld uitgekeerd verliesbedrag per provincie (x € 1.000)</w:t>
      </w:r>
    </w:p>
    <w:p w14:paraId="40926DC2" w14:textId="77777777" w:rsidR="002A157D" w:rsidRDefault="002A157D" w:rsidP="004026F7">
      <w:pPr>
        <w:rPr>
          <w:rStyle w:val="Kop1Char"/>
          <w:rFonts w:ascii="Arial" w:hAnsi="Arial" w:cs="Arial"/>
          <w:b w:val="0"/>
          <w:color w:val="auto"/>
          <w:sz w:val="20"/>
          <w:szCs w:val="20"/>
        </w:rPr>
      </w:pPr>
    </w:p>
    <w:p w14:paraId="4C8984DE" w14:textId="77777777" w:rsidR="00797F39" w:rsidRDefault="00AE0665">
      <w:pPr>
        <w:rPr>
          <w:rStyle w:val="Kop1Char"/>
          <w:rFonts w:ascii="Arial" w:hAnsi="Arial" w:cs="Arial"/>
          <w:color w:val="auto"/>
          <w:sz w:val="20"/>
          <w:szCs w:val="20"/>
        </w:rPr>
      </w:pPr>
      <w:r>
        <w:rPr>
          <w:noProof/>
        </w:rPr>
        <w:drawing>
          <wp:inline distT="0" distB="0" distL="0" distR="0" wp14:anchorId="2C576026" wp14:editId="2F106773">
            <wp:extent cx="4255610" cy="5040000"/>
            <wp:effectExtent l="0" t="0" r="0" b="8255"/>
            <wp:docPr id="2" name="Afbeelding 2" descr="cid:image001.png@01D26695.C543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26695.C54306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255610" cy="5040000"/>
                    </a:xfrm>
                    <a:prstGeom prst="rect">
                      <a:avLst/>
                    </a:prstGeom>
                    <a:noFill/>
                    <a:ln>
                      <a:noFill/>
                    </a:ln>
                  </pic:spPr>
                </pic:pic>
              </a:graphicData>
            </a:graphic>
          </wp:inline>
        </w:drawing>
      </w:r>
    </w:p>
    <w:p w14:paraId="52BB06DF" w14:textId="77777777" w:rsidR="00A243EB" w:rsidRDefault="00A243EB" w:rsidP="00797F39">
      <w:pPr>
        <w:rPr>
          <w:rStyle w:val="Kop1Char"/>
          <w:rFonts w:ascii="Arial" w:hAnsi="Arial" w:cs="Arial"/>
          <w:color w:val="auto"/>
          <w:sz w:val="20"/>
          <w:szCs w:val="20"/>
        </w:rPr>
      </w:pPr>
    </w:p>
    <w:p w14:paraId="6C038B20" w14:textId="7B728A2A" w:rsidR="00A243EB" w:rsidRDefault="00B33CE8" w:rsidP="00797F39">
      <w:pPr>
        <w:rPr>
          <w:rStyle w:val="Kop1Char"/>
          <w:rFonts w:ascii="Arial" w:hAnsi="Arial" w:cs="Arial"/>
          <w:b w:val="0"/>
          <w:color w:val="auto"/>
          <w:sz w:val="20"/>
          <w:szCs w:val="20"/>
        </w:rPr>
      </w:pPr>
      <w:r>
        <w:rPr>
          <w:rStyle w:val="Kop1Char"/>
          <w:rFonts w:ascii="Arial" w:hAnsi="Arial" w:cs="Arial"/>
          <w:color w:val="auto"/>
          <w:sz w:val="20"/>
          <w:szCs w:val="20"/>
        </w:rPr>
        <w:t>Regionale verschillen</w:t>
      </w:r>
    </w:p>
    <w:p w14:paraId="3418B0C3" w14:textId="4768CE8B" w:rsidR="00797F39" w:rsidRPr="0012038C" w:rsidRDefault="0012038C" w:rsidP="0012038C">
      <w:r w:rsidRPr="0012038C">
        <w:t>Bovenstaande figuur laat het gemiddeld uitgekeerd verliesbedrag per provincie zien in het jaar 2016*. In Noord-Holland waren de verliezen het laagst. De stijging van de gemiddelde huizenprijzen de afgelopen jaren in de provincie Noord-Holland, en met name in Amsterdam, heeft hier zeker aan bijgedragen. In de provincies Groningen en Zeeland waren de verliezen gemiddeld het hoogst. Mogelijke verklaringen hiervoor zijn: de dalende huizenprijzen in deze gebieden, de bevolkingskrimp en de schade aan onderpanden in de NAM-gebieden. Het WEW denkt mee met geldverstrekkers, ministeries en gemeenten over oplossingen voor dergelijke maatschappelijke problematiek.</w:t>
      </w:r>
    </w:p>
    <w:p w14:paraId="32420B4C" w14:textId="77777777" w:rsidR="0006265A" w:rsidRDefault="0006265A" w:rsidP="0006265A">
      <w:pPr>
        <w:rPr>
          <w:rFonts w:cs="Arial"/>
          <w:color w:val="1F497D"/>
          <w:szCs w:val="20"/>
        </w:rPr>
      </w:pPr>
    </w:p>
    <w:p w14:paraId="2AB83003" w14:textId="1F798F36" w:rsidR="0006265A" w:rsidRPr="0006265A" w:rsidRDefault="00A71C27" w:rsidP="0006265A">
      <w:pPr>
        <w:rPr>
          <w:rFonts w:cs="Arial"/>
          <w:bCs/>
          <w:i/>
          <w:szCs w:val="20"/>
        </w:rPr>
      </w:pPr>
      <w:r>
        <w:rPr>
          <w:rFonts w:cs="Arial"/>
          <w:bCs/>
          <w:i/>
          <w:szCs w:val="20"/>
        </w:rPr>
        <w:t>*</w:t>
      </w:r>
      <w:r w:rsidR="0006265A" w:rsidRPr="0006265A">
        <w:rPr>
          <w:rFonts w:cs="Arial"/>
          <w:bCs/>
          <w:i/>
          <w:szCs w:val="20"/>
        </w:rPr>
        <w:t>D</w:t>
      </w:r>
      <w:r w:rsidR="00026699">
        <w:rPr>
          <w:rFonts w:cs="Arial"/>
          <w:bCs/>
          <w:i/>
          <w:szCs w:val="20"/>
        </w:rPr>
        <w:t>e</w:t>
      </w:r>
      <w:r w:rsidR="0006265A" w:rsidRPr="0006265A">
        <w:rPr>
          <w:rFonts w:cs="Arial"/>
          <w:bCs/>
          <w:i/>
          <w:szCs w:val="20"/>
        </w:rPr>
        <w:t xml:space="preserve"> cijfers zijn gebaseerd op </w:t>
      </w:r>
      <w:r w:rsidR="00C135F3">
        <w:rPr>
          <w:rFonts w:cs="Arial"/>
          <w:bCs/>
          <w:i/>
          <w:szCs w:val="20"/>
        </w:rPr>
        <w:t xml:space="preserve">het </w:t>
      </w:r>
      <w:r w:rsidR="0006265A" w:rsidRPr="0006265A">
        <w:rPr>
          <w:rFonts w:cs="Arial"/>
          <w:bCs/>
          <w:i/>
          <w:szCs w:val="20"/>
        </w:rPr>
        <w:t>gemiddelde van de uitgekeerde bedragen van alle garanties die 3, 4 of 5 jaar liepen op het moment van</w:t>
      </w:r>
      <w:r w:rsidR="00A243EB">
        <w:rPr>
          <w:rFonts w:cs="Arial"/>
          <w:bCs/>
          <w:i/>
          <w:szCs w:val="20"/>
        </w:rPr>
        <w:t xml:space="preserve"> de verkoop van het onderpand</w:t>
      </w:r>
      <w:r w:rsidR="0006265A" w:rsidRPr="0006265A">
        <w:rPr>
          <w:rFonts w:cs="Arial"/>
          <w:bCs/>
          <w:i/>
          <w:szCs w:val="20"/>
        </w:rPr>
        <w:t>.</w:t>
      </w:r>
    </w:p>
    <w:p w14:paraId="7716AEEA" w14:textId="77777777" w:rsidR="00797F39" w:rsidRDefault="00797F39" w:rsidP="00797F39">
      <w:pPr>
        <w:rPr>
          <w:rStyle w:val="Kop1Char"/>
          <w:rFonts w:ascii="Arial" w:hAnsi="Arial" w:cs="Arial"/>
          <w:color w:val="auto"/>
          <w:sz w:val="20"/>
          <w:szCs w:val="20"/>
        </w:rPr>
      </w:pPr>
    </w:p>
    <w:p w14:paraId="3C414051" w14:textId="77777777" w:rsidR="004C6ED3" w:rsidRDefault="004C6ED3" w:rsidP="00797F39">
      <w:pPr>
        <w:rPr>
          <w:rStyle w:val="Kop1Char"/>
          <w:rFonts w:ascii="Arial" w:hAnsi="Arial" w:cs="Arial"/>
          <w:color w:val="auto"/>
          <w:sz w:val="20"/>
          <w:szCs w:val="20"/>
        </w:rPr>
      </w:pPr>
      <w:r>
        <w:rPr>
          <w:rStyle w:val="Kop1Char"/>
          <w:rFonts w:ascii="Arial" w:hAnsi="Arial" w:cs="Arial"/>
          <w:color w:val="auto"/>
          <w:sz w:val="20"/>
          <w:szCs w:val="20"/>
        </w:rPr>
        <w:br w:type="page"/>
      </w:r>
    </w:p>
    <w:p w14:paraId="2E4D4043" w14:textId="77777777" w:rsidR="004026F7" w:rsidRPr="000D34B7" w:rsidRDefault="000D34B7" w:rsidP="00187F24">
      <w:pPr>
        <w:keepNext/>
        <w:keepLines/>
        <w:rPr>
          <w:rStyle w:val="Kop1Char"/>
          <w:rFonts w:ascii="Arial" w:hAnsi="Arial" w:cs="Arial"/>
          <w:color w:val="auto"/>
          <w:sz w:val="20"/>
          <w:szCs w:val="20"/>
        </w:rPr>
      </w:pPr>
      <w:r w:rsidRPr="000D34B7">
        <w:rPr>
          <w:rStyle w:val="Kop1Char"/>
          <w:rFonts w:ascii="Arial" w:hAnsi="Arial" w:cs="Arial"/>
          <w:color w:val="auto"/>
          <w:sz w:val="20"/>
          <w:szCs w:val="20"/>
        </w:rPr>
        <w:lastRenderedPageBreak/>
        <w:t xml:space="preserve">ONTWIKKELINGEN </w:t>
      </w:r>
      <w:r>
        <w:rPr>
          <w:rStyle w:val="Kop1Char"/>
          <w:rFonts w:ascii="Arial" w:hAnsi="Arial" w:cs="Arial"/>
          <w:color w:val="auto"/>
          <w:sz w:val="20"/>
          <w:szCs w:val="20"/>
        </w:rPr>
        <w:t>WAARBORGFONDS</w:t>
      </w:r>
    </w:p>
    <w:p w14:paraId="64A72633" w14:textId="77777777" w:rsidR="000D34B7" w:rsidRDefault="000D34B7" w:rsidP="00187F24">
      <w:pPr>
        <w:keepNext/>
        <w:keepLines/>
        <w:rPr>
          <w:rStyle w:val="Kop1Char"/>
          <w:rFonts w:ascii="Arial" w:hAnsi="Arial" w:cs="Arial"/>
          <w:b w:val="0"/>
          <w:color w:val="auto"/>
          <w:sz w:val="20"/>
          <w:szCs w:val="20"/>
          <w:u w:val="single"/>
        </w:rPr>
      </w:pPr>
    </w:p>
    <w:p w14:paraId="7B7166E3" w14:textId="77777777" w:rsidR="004026F7" w:rsidRPr="004C6ED3" w:rsidRDefault="004026F7" w:rsidP="00187F24">
      <w:pPr>
        <w:keepNext/>
        <w:keepLines/>
        <w:rPr>
          <w:rStyle w:val="Kop1Char"/>
          <w:rFonts w:ascii="Arial" w:hAnsi="Arial" w:cs="Arial"/>
          <w:color w:val="auto"/>
          <w:sz w:val="20"/>
          <w:szCs w:val="20"/>
          <w:u w:val="single"/>
        </w:rPr>
      </w:pPr>
      <w:proofErr w:type="spellStart"/>
      <w:r w:rsidRPr="004C6ED3">
        <w:rPr>
          <w:rStyle w:val="Kop1Char"/>
          <w:rFonts w:ascii="Arial" w:hAnsi="Arial" w:cs="Arial"/>
          <w:color w:val="auto"/>
          <w:sz w:val="20"/>
          <w:szCs w:val="20"/>
          <w:u w:val="single"/>
        </w:rPr>
        <w:t>Linkerkolom</w:t>
      </w:r>
      <w:proofErr w:type="spellEnd"/>
    </w:p>
    <w:p w14:paraId="4885160A" w14:textId="77777777" w:rsidR="004026F7" w:rsidRDefault="00B63E83" w:rsidP="00187F24">
      <w:pPr>
        <w:keepNext/>
        <w:keepLines/>
        <w:rPr>
          <w:rFonts w:cs="Arial"/>
          <w:szCs w:val="20"/>
        </w:rPr>
      </w:pPr>
      <w:r>
        <w:rPr>
          <w:rFonts w:cs="Arial"/>
          <w:szCs w:val="20"/>
          <w:highlight w:val="lightGray"/>
        </w:rPr>
        <w:t>[</w:t>
      </w:r>
      <w:r w:rsidR="009C71F3">
        <w:rPr>
          <w:rFonts w:cs="Arial"/>
          <w:szCs w:val="20"/>
          <w:highlight w:val="lightGray"/>
        </w:rPr>
        <w:t xml:space="preserve">tabel slide 10, </w:t>
      </w:r>
      <w:r w:rsidR="00A243EB">
        <w:rPr>
          <w:rFonts w:cs="Arial"/>
          <w:szCs w:val="20"/>
          <w:highlight w:val="lightGray"/>
        </w:rPr>
        <w:t>53</w:t>
      </w:r>
      <w:r>
        <w:rPr>
          <w:rFonts w:cs="Arial"/>
          <w:szCs w:val="20"/>
          <w:highlight w:val="lightGray"/>
        </w:rPr>
        <w:t xml:space="preserve"> woorden</w:t>
      </w:r>
      <w:r>
        <w:rPr>
          <w:rFonts w:cs="Arial"/>
          <w:szCs w:val="20"/>
        </w:rPr>
        <w:t>]</w:t>
      </w:r>
    </w:p>
    <w:p w14:paraId="34AB55F9" w14:textId="77777777" w:rsidR="00FE518F" w:rsidRDefault="00FE518F" w:rsidP="00187F24">
      <w:pPr>
        <w:keepNext/>
        <w:keepLines/>
        <w:rPr>
          <w:rFonts w:cs="Arial"/>
          <w:szCs w:val="20"/>
        </w:rPr>
      </w:pPr>
    </w:p>
    <w:tbl>
      <w:tblPr>
        <w:tblW w:w="8520" w:type="dxa"/>
        <w:tblInd w:w="-5" w:type="dxa"/>
        <w:tblCellMar>
          <w:left w:w="70" w:type="dxa"/>
          <w:right w:w="70" w:type="dxa"/>
        </w:tblCellMar>
        <w:tblLook w:val="04A0" w:firstRow="1" w:lastRow="0" w:firstColumn="1" w:lastColumn="0" w:noHBand="0" w:noVBand="1"/>
      </w:tblPr>
      <w:tblGrid>
        <w:gridCol w:w="3720"/>
        <w:gridCol w:w="1600"/>
        <w:gridCol w:w="1600"/>
        <w:gridCol w:w="1600"/>
      </w:tblGrid>
      <w:tr w:rsidR="0012038C" w:rsidRPr="0012038C" w14:paraId="32E03F05" w14:textId="77777777" w:rsidTr="0012038C">
        <w:trPr>
          <w:trHeight w:val="255"/>
        </w:trPr>
        <w:tc>
          <w:tcPr>
            <w:tcW w:w="3720" w:type="dxa"/>
            <w:tcBorders>
              <w:top w:val="single" w:sz="4" w:space="0" w:color="auto"/>
              <w:left w:val="single" w:sz="4" w:space="0" w:color="auto"/>
              <w:bottom w:val="nil"/>
              <w:right w:val="nil"/>
            </w:tcBorders>
            <w:shd w:val="clear" w:color="auto" w:fill="auto"/>
            <w:noWrap/>
            <w:vAlign w:val="bottom"/>
            <w:hideMark/>
          </w:tcPr>
          <w:p w14:paraId="0000A7F1" w14:textId="77777777" w:rsidR="0012038C" w:rsidRPr="0012038C" w:rsidRDefault="0012038C" w:rsidP="0012038C">
            <w:pPr>
              <w:rPr>
                <w:rFonts w:cs="Arial"/>
                <w:b/>
                <w:bCs/>
                <w:color w:val="000000"/>
                <w:szCs w:val="20"/>
              </w:rPr>
            </w:pPr>
            <w:r w:rsidRPr="0012038C">
              <w:rPr>
                <w:rFonts w:cs="Arial"/>
                <w:b/>
                <w:bCs/>
                <w:color w:val="000000"/>
                <w:szCs w:val="20"/>
              </w:rPr>
              <w:t> Ontwikkelingen Waarborgfonds</w:t>
            </w:r>
          </w:p>
        </w:tc>
        <w:tc>
          <w:tcPr>
            <w:tcW w:w="1600" w:type="dxa"/>
            <w:tcBorders>
              <w:top w:val="single" w:sz="4" w:space="0" w:color="auto"/>
              <w:left w:val="nil"/>
              <w:bottom w:val="nil"/>
              <w:right w:val="nil"/>
            </w:tcBorders>
            <w:shd w:val="clear" w:color="auto" w:fill="auto"/>
            <w:noWrap/>
            <w:vAlign w:val="bottom"/>
            <w:hideMark/>
          </w:tcPr>
          <w:p w14:paraId="343778BB" w14:textId="77777777" w:rsidR="0012038C" w:rsidRPr="0012038C" w:rsidRDefault="0012038C" w:rsidP="0012038C">
            <w:pPr>
              <w:jc w:val="center"/>
              <w:rPr>
                <w:rFonts w:cs="Arial"/>
                <w:color w:val="000000"/>
                <w:szCs w:val="20"/>
              </w:rPr>
            </w:pPr>
            <w:r w:rsidRPr="0012038C">
              <w:rPr>
                <w:rFonts w:cs="Arial"/>
                <w:color w:val="000000"/>
                <w:szCs w:val="20"/>
              </w:rPr>
              <w:t> </w:t>
            </w:r>
          </w:p>
        </w:tc>
        <w:tc>
          <w:tcPr>
            <w:tcW w:w="1600" w:type="dxa"/>
            <w:tcBorders>
              <w:top w:val="single" w:sz="4" w:space="0" w:color="auto"/>
              <w:left w:val="nil"/>
              <w:bottom w:val="nil"/>
              <w:right w:val="nil"/>
            </w:tcBorders>
            <w:shd w:val="clear" w:color="auto" w:fill="auto"/>
            <w:noWrap/>
            <w:vAlign w:val="bottom"/>
            <w:hideMark/>
          </w:tcPr>
          <w:p w14:paraId="4F1F6FE8" w14:textId="77777777" w:rsidR="0012038C" w:rsidRPr="0012038C" w:rsidRDefault="0012038C" w:rsidP="0012038C">
            <w:pPr>
              <w:jc w:val="center"/>
              <w:rPr>
                <w:rFonts w:cs="Arial"/>
                <w:b/>
                <w:bCs/>
                <w:color w:val="000000"/>
                <w:szCs w:val="20"/>
              </w:rPr>
            </w:pPr>
            <w:r w:rsidRPr="0012038C">
              <w:rPr>
                <w:rFonts w:cs="Arial"/>
                <w:b/>
                <w:bCs/>
                <w:color w:val="000000"/>
                <w:szCs w:val="20"/>
              </w:rPr>
              <w:t> </w:t>
            </w:r>
          </w:p>
        </w:tc>
        <w:tc>
          <w:tcPr>
            <w:tcW w:w="1600" w:type="dxa"/>
            <w:tcBorders>
              <w:top w:val="single" w:sz="4" w:space="0" w:color="auto"/>
              <w:left w:val="nil"/>
              <w:bottom w:val="nil"/>
              <w:right w:val="single" w:sz="4" w:space="0" w:color="auto"/>
            </w:tcBorders>
            <w:shd w:val="clear" w:color="auto" w:fill="auto"/>
            <w:noWrap/>
            <w:vAlign w:val="bottom"/>
            <w:hideMark/>
          </w:tcPr>
          <w:p w14:paraId="0414F3F9" w14:textId="77777777" w:rsidR="0012038C" w:rsidRPr="0012038C" w:rsidRDefault="0012038C" w:rsidP="0012038C">
            <w:pPr>
              <w:jc w:val="center"/>
              <w:rPr>
                <w:rFonts w:cs="Arial"/>
                <w:color w:val="000000"/>
                <w:szCs w:val="20"/>
              </w:rPr>
            </w:pPr>
            <w:r w:rsidRPr="0012038C">
              <w:rPr>
                <w:rFonts w:cs="Arial"/>
                <w:color w:val="000000"/>
                <w:szCs w:val="20"/>
              </w:rPr>
              <w:t> </w:t>
            </w:r>
          </w:p>
        </w:tc>
      </w:tr>
      <w:tr w:rsidR="0012038C" w:rsidRPr="0012038C" w14:paraId="53FA2A16" w14:textId="77777777" w:rsidTr="0012038C">
        <w:trPr>
          <w:trHeight w:val="255"/>
        </w:trPr>
        <w:tc>
          <w:tcPr>
            <w:tcW w:w="3720" w:type="dxa"/>
            <w:tcBorders>
              <w:top w:val="nil"/>
              <w:left w:val="single" w:sz="4" w:space="0" w:color="auto"/>
              <w:bottom w:val="nil"/>
              <w:right w:val="nil"/>
            </w:tcBorders>
            <w:shd w:val="clear" w:color="auto" w:fill="auto"/>
            <w:noWrap/>
            <w:vAlign w:val="bottom"/>
            <w:hideMark/>
          </w:tcPr>
          <w:p w14:paraId="5FDE790F" w14:textId="77777777" w:rsidR="0012038C" w:rsidRPr="0012038C" w:rsidRDefault="0012038C" w:rsidP="0012038C">
            <w:pPr>
              <w:rPr>
                <w:rFonts w:cs="Arial"/>
                <w:color w:val="000000"/>
                <w:szCs w:val="20"/>
              </w:rPr>
            </w:pPr>
            <w:r w:rsidRPr="0012038C">
              <w:rPr>
                <w:rFonts w:cs="Arial"/>
                <w:color w:val="000000"/>
                <w:szCs w:val="20"/>
              </w:rPr>
              <w:t> </w:t>
            </w:r>
          </w:p>
        </w:tc>
        <w:tc>
          <w:tcPr>
            <w:tcW w:w="1600" w:type="dxa"/>
            <w:tcBorders>
              <w:top w:val="nil"/>
              <w:left w:val="nil"/>
              <w:bottom w:val="nil"/>
              <w:right w:val="nil"/>
            </w:tcBorders>
            <w:shd w:val="clear" w:color="auto" w:fill="auto"/>
            <w:noWrap/>
            <w:vAlign w:val="bottom"/>
            <w:hideMark/>
          </w:tcPr>
          <w:p w14:paraId="74D710E8" w14:textId="77777777" w:rsidR="0012038C" w:rsidRPr="0012038C" w:rsidRDefault="0012038C" w:rsidP="0012038C">
            <w:pPr>
              <w:jc w:val="center"/>
              <w:rPr>
                <w:rFonts w:cs="Arial"/>
                <w:b/>
                <w:bCs/>
                <w:color w:val="000000"/>
                <w:szCs w:val="20"/>
              </w:rPr>
            </w:pPr>
            <w:r w:rsidRPr="0012038C">
              <w:rPr>
                <w:rFonts w:cs="Arial"/>
                <w:b/>
                <w:bCs/>
                <w:color w:val="000000"/>
                <w:szCs w:val="20"/>
              </w:rPr>
              <w:t>Schatting</w:t>
            </w:r>
          </w:p>
        </w:tc>
        <w:tc>
          <w:tcPr>
            <w:tcW w:w="1600" w:type="dxa"/>
            <w:tcBorders>
              <w:top w:val="nil"/>
              <w:left w:val="nil"/>
              <w:bottom w:val="nil"/>
              <w:right w:val="nil"/>
            </w:tcBorders>
            <w:shd w:val="clear" w:color="auto" w:fill="auto"/>
            <w:noWrap/>
            <w:vAlign w:val="bottom"/>
            <w:hideMark/>
          </w:tcPr>
          <w:p w14:paraId="79B09A06" w14:textId="77777777" w:rsidR="0012038C" w:rsidRPr="0012038C" w:rsidRDefault="0012038C" w:rsidP="0012038C">
            <w:pPr>
              <w:jc w:val="center"/>
              <w:rPr>
                <w:rFonts w:cs="Arial"/>
                <w:b/>
                <w:bCs/>
                <w:color w:val="000000"/>
                <w:szCs w:val="20"/>
              </w:rPr>
            </w:pPr>
            <w:r w:rsidRPr="0012038C">
              <w:rPr>
                <w:rFonts w:cs="Arial"/>
                <w:b/>
                <w:bCs/>
                <w:color w:val="000000"/>
                <w:szCs w:val="20"/>
              </w:rPr>
              <w:t xml:space="preserve"> Jaarrekening</w:t>
            </w:r>
          </w:p>
        </w:tc>
        <w:tc>
          <w:tcPr>
            <w:tcW w:w="1600" w:type="dxa"/>
            <w:tcBorders>
              <w:top w:val="nil"/>
              <w:left w:val="nil"/>
              <w:bottom w:val="nil"/>
              <w:right w:val="single" w:sz="4" w:space="0" w:color="auto"/>
            </w:tcBorders>
            <w:shd w:val="clear" w:color="auto" w:fill="auto"/>
            <w:noWrap/>
            <w:vAlign w:val="bottom"/>
            <w:hideMark/>
          </w:tcPr>
          <w:p w14:paraId="0711E13A" w14:textId="77777777" w:rsidR="0012038C" w:rsidRPr="0012038C" w:rsidRDefault="0012038C" w:rsidP="0012038C">
            <w:pPr>
              <w:jc w:val="center"/>
              <w:rPr>
                <w:rFonts w:cs="Arial"/>
                <w:b/>
                <w:bCs/>
                <w:color w:val="000000"/>
                <w:szCs w:val="20"/>
              </w:rPr>
            </w:pPr>
            <w:r w:rsidRPr="0012038C">
              <w:rPr>
                <w:rFonts w:cs="Arial"/>
                <w:b/>
                <w:bCs/>
                <w:color w:val="000000"/>
                <w:szCs w:val="20"/>
              </w:rPr>
              <w:t>Jaarrekening</w:t>
            </w:r>
          </w:p>
        </w:tc>
      </w:tr>
      <w:tr w:rsidR="0012038C" w:rsidRPr="0012038C" w14:paraId="63419EF2" w14:textId="77777777" w:rsidTr="0012038C">
        <w:trPr>
          <w:trHeight w:val="255"/>
        </w:trPr>
        <w:tc>
          <w:tcPr>
            <w:tcW w:w="3720" w:type="dxa"/>
            <w:tcBorders>
              <w:top w:val="nil"/>
              <w:left w:val="single" w:sz="4" w:space="0" w:color="auto"/>
              <w:bottom w:val="nil"/>
              <w:right w:val="nil"/>
            </w:tcBorders>
            <w:shd w:val="clear" w:color="auto" w:fill="auto"/>
            <w:noWrap/>
            <w:vAlign w:val="bottom"/>
            <w:hideMark/>
          </w:tcPr>
          <w:p w14:paraId="3F2D7ACA" w14:textId="77777777" w:rsidR="0012038C" w:rsidRPr="0012038C" w:rsidRDefault="0012038C" w:rsidP="0012038C">
            <w:pPr>
              <w:rPr>
                <w:rFonts w:cs="Arial"/>
                <w:color w:val="000000"/>
                <w:szCs w:val="20"/>
              </w:rPr>
            </w:pPr>
            <w:r w:rsidRPr="0012038C">
              <w:rPr>
                <w:rFonts w:cs="Arial"/>
                <w:color w:val="000000"/>
                <w:szCs w:val="20"/>
              </w:rPr>
              <w:t> </w:t>
            </w:r>
          </w:p>
        </w:tc>
        <w:tc>
          <w:tcPr>
            <w:tcW w:w="1600" w:type="dxa"/>
            <w:tcBorders>
              <w:top w:val="nil"/>
              <w:left w:val="nil"/>
              <w:bottom w:val="nil"/>
              <w:right w:val="nil"/>
            </w:tcBorders>
            <w:shd w:val="clear" w:color="auto" w:fill="auto"/>
            <w:noWrap/>
            <w:vAlign w:val="bottom"/>
            <w:hideMark/>
          </w:tcPr>
          <w:p w14:paraId="4ECC6755" w14:textId="77777777" w:rsidR="0012038C" w:rsidRPr="0012038C" w:rsidRDefault="0012038C" w:rsidP="0012038C">
            <w:pPr>
              <w:jc w:val="center"/>
              <w:rPr>
                <w:rFonts w:cs="Arial"/>
                <w:b/>
                <w:bCs/>
                <w:color w:val="000000"/>
                <w:szCs w:val="20"/>
              </w:rPr>
            </w:pPr>
            <w:r w:rsidRPr="0012038C">
              <w:rPr>
                <w:rFonts w:cs="Arial"/>
                <w:b/>
                <w:bCs/>
                <w:color w:val="000000"/>
                <w:szCs w:val="20"/>
              </w:rPr>
              <w:t>Per 31-12-2016</w:t>
            </w:r>
          </w:p>
        </w:tc>
        <w:tc>
          <w:tcPr>
            <w:tcW w:w="1600" w:type="dxa"/>
            <w:tcBorders>
              <w:top w:val="nil"/>
              <w:left w:val="nil"/>
              <w:bottom w:val="nil"/>
              <w:right w:val="nil"/>
            </w:tcBorders>
            <w:shd w:val="clear" w:color="auto" w:fill="auto"/>
            <w:noWrap/>
            <w:vAlign w:val="bottom"/>
            <w:hideMark/>
          </w:tcPr>
          <w:p w14:paraId="12A4FA74" w14:textId="77777777" w:rsidR="0012038C" w:rsidRPr="0012038C" w:rsidRDefault="0012038C" w:rsidP="0012038C">
            <w:pPr>
              <w:jc w:val="center"/>
              <w:rPr>
                <w:rFonts w:cs="Arial"/>
                <w:b/>
                <w:bCs/>
                <w:color w:val="000000"/>
                <w:szCs w:val="20"/>
              </w:rPr>
            </w:pPr>
            <w:r w:rsidRPr="0012038C">
              <w:rPr>
                <w:rFonts w:cs="Arial"/>
                <w:b/>
                <w:bCs/>
                <w:color w:val="000000"/>
                <w:szCs w:val="20"/>
              </w:rPr>
              <w:t xml:space="preserve">Per </w:t>
            </w:r>
            <w:r w:rsidRPr="0012038C">
              <w:rPr>
                <w:rFonts w:cs="Arial"/>
                <w:b/>
                <w:bCs/>
                <w:color w:val="000000"/>
                <w:szCs w:val="20"/>
              </w:rPr>
              <w:br/>
              <w:t>31-12-2015</w:t>
            </w:r>
          </w:p>
        </w:tc>
        <w:tc>
          <w:tcPr>
            <w:tcW w:w="1600" w:type="dxa"/>
            <w:tcBorders>
              <w:top w:val="nil"/>
              <w:left w:val="nil"/>
              <w:bottom w:val="nil"/>
              <w:right w:val="single" w:sz="4" w:space="0" w:color="auto"/>
            </w:tcBorders>
            <w:shd w:val="clear" w:color="auto" w:fill="auto"/>
            <w:noWrap/>
            <w:vAlign w:val="bottom"/>
            <w:hideMark/>
          </w:tcPr>
          <w:p w14:paraId="5E28EE0F" w14:textId="77777777" w:rsidR="0012038C" w:rsidRPr="0012038C" w:rsidRDefault="0012038C" w:rsidP="0012038C">
            <w:pPr>
              <w:jc w:val="center"/>
              <w:rPr>
                <w:rFonts w:cs="Arial"/>
                <w:b/>
                <w:bCs/>
                <w:color w:val="000000"/>
                <w:szCs w:val="20"/>
              </w:rPr>
            </w:pPr>
            <w:r w:rsidRPr="0012038C">
              <w:rPr>
                <w:rFonts w:cs="Arial"/>
                <w:b/>
                <w:bCs/>
                <w:color w:val="000000"/>
                <w:szCs w:val="20"/>
              </w:rPr>
              <w:t xml:space="preserve">Per </w:t>
            </w:r>
            <w:r w:rsidRPr="0012038C">
              <w:rPr>
                <w:rFonts w:cs="Arial"/>
                <w:b/>
                <w:bCs/>
                <w:color w:val="000000"/>
                <w:szCs w:val="20"/>
              </w:rPr>
              <w:br/>
              <w:t>31-12-2014</w:t>
            </w:r>
          </w:p>
        </w:tc>
      </w:tr>
      <w:tr w:rsidR="0012038C" w:rsidRPr="0012038C" w14:paraId="301093F6" w14:textId="77777777" w:rsidTr="0012038C">
        <w:trPr>
          <w:trHeight w:val="255"/>
        </w:trPr>
        <w:tc>
          <w:tcPr>
            <w:tcW w:w="3720" w:type="dxa"/>
            <w:tcBorders>
              <w:top w:val="single" w:sz="4" w:space="0" w:color="auto"/>
              <w:left w:val="nil"/>
              <w:bottom w:val="nil"/>
              <w:right w:val="nil"/>
            </w:tcBorders>
            <w:shd w:val="clear" w:color="auto" w:fill="auto"/>
            <w:noWrap/>
            <w:vAlign w:val="bottom"/>
            <w:hideMark/>
          </w:tcPr>
          <w:p w14:paraId="677BA086" w14:textId="77777777" w:rsidR="0012038C" w:rsidRPr="0012038C" w:rsidRDefault="0012038C" w:rsidP="0012038C">
            <w:pPr>
              <w:rPr>
                <w:rFonts w:cs="Arial"/>
                <w:color w:val="000000"/>
                <w:szCs w:val="20"/>
              </w:rPr>
            </w:pPr>
            <w:r w:rsidRPr="0012038C">
              <w:rPr>
                <w:rFonts w:cs="Arial"/>
                <w:color w:val="000000"/>
                <w:szCs w:val="20"/>
              </w:rPr>
              <w:t xml:space="preserve">Aantal actieve garanties </w:t>
            </w:r>
          </w:p>
        </w:tc>
        <w:tc>
          <w:tcPr>
            <w:tcW w:w="1600" w:type="dxa"/>
            <w:tcBorders>
              <w:top w:val="single" w:sz="4" w:space="0" w:color="auto"/>
              <w:left w:val="nil"/>
              <w:bottom w:val="nil"/>
              <w:right w:val="nil"/>
            </w:tcBorders>
            <w:shd w:val="clear" w:color="auto" w:fill="auto"/>
            <w:noWrap/>
            <w:vAlign w:val="bottom"/>
            <w:hideMark/>
          </w:tcPr>
          <w:p w14:paraId="0CCA2321" w14:textId="77777777" w:rsidR="0012038C" w:rsidRPr="0012038C" w:rsidRDefault="0012038C" w:rsidP="0012038C">
            <w:pPr>
              <w:rPr>
                <w:rFonts w:cs="Arial"/>
                <w:color w:val="000000"/>
                <w:szCs w:val="20"/>
              </w:rPr>
            </w:pPr>
            <w:r w:rsidRPr="0012038C">
              <w:rPr>
                <w:rFonts w:cs="Arial"/>
                <w:color w:val="000000"/>
                <w:szCs w:val="20"/>
              </w:rPr>
              <w:t xml:space="preserve">          1.309.000 </w:t>
            </w:r>
          </w:p>
        </w:tc>
        <w:tc>
          <w:tcPr>
            <w:tcW w:w="1600" w:type="dxa"/>
            <w:tcBorders>
              <w:top w:val="single" w:sz="4" w:space="0" w:color="auto"/>
              <w:left w:val="nil"/>
              <w:bottom w:val="nil"/>
              <w:right w:val="nil"/>
            </w:tcBorders>
            <w:shd w:val="clear" w:color="auto" w:fill="auto"/>
            <w:noWrap/>
            <w:vAlign w:val="bottom"/>
            <w:hideMark/>
          </w:tcPr>
          <w:p w14:paraId="41B2526D" w14:textId="77777777" w:rsidR="0012038C" w:rsidRPr="0012038C" w:rsidRDefault="0012038C" w:rsidP="0012038C">
            <w:pPr>
              <w:rPr>
                <w:rFonts w:cs="Arial"/>
                <w:color w:val="000000"/>
                <w:szCs w:val="20"/>
              </w:rPr>
            </w:pPr>
            <w:r w:rsidRPr="0012038C">
              <w:rPr>
                <w:rFonts w:cs="Arial"/>
                <w:color w:val="000000"/>
                <w:szCs w:val="20"/>
              </w:rPr>
              <w:t xml:space="preserve">          1.254.000 </w:t>
            </w:r>
          </w:p>
        </w:tc>
        <w:tc>
          <w:tcPr>
            <w:tcW w:w="1600" w:type="dxa"/>
            <w:tcBorders>
              <w:top w:val="single" w:sz="4" w:space="0" w:color="auto"/>
              <w:left w:val="nil"/>
              <w:bottom w:val="nil"/>
              <w:right w:val="nil"/>
            </w:tcBorders>
            <w:shd w:val="clear" w:color="auto" w:fill="auto"/>
            <w:noWrap/>
            <w:vAlign w:val="bottom"/>
            <w:hideMark/>
          </w:tcPr>
          <w:p w14:paraId="7110E43B" w14:textId="77777777" w:rsidR="0012038C" w:rsidRPr="0012038C" w:rsidRDefault="0012038C" w:rsidP="0012038C">
            <w:pPr>
              <w:rPr>
                <w:rFonts w:cs="Arial"/>
                <w:color w:val="000000"/>
                <w:szCs w:val="20"/>
              </w:rPr>
            </w:pPr>
            <w:r w:rsidRPr="0012038C">
              <w:rPr>
                <w:rFonts w:cs="Arial"/>
                <w:color w:val="000000"/>
                <w:szCs w:val="20"/>
              </w:rPr>
              <w:t xml:space="preserve">          1.175.000 </w:t>
            </w:r>
          </w:p>
        </w:tc>
      </w:tr>
      <w:tr w:rsidR="0012038C" w:rsidRPr="0012038C" w14:paraId="4F06DE3A" w14:textId="77777777" w:rsidTr="0012038C">
        <w:trPr>
          <w:trHeight w:val="255"/>
        </w:trPr>
        <w:tc>
          <w:tcPr>
            <w:tcW w:w="3720" w:type="dxa"/>
            <w:tcBorders>
              <w:top w:val="nil"/>
              <w:left w:val="nil"/>
              <w:bottom w:val="nil"/>
              <w:right w:val="nil"/>
            </w:tcBorders>
            <w:shd w:val="clear" w:color="auto" w:fill="auto"/>
            <w:noWrap/>
            <w:vAlign w:val="bottom"/>
            <w:hideMark/>
          </w:tcPr>
          <w:p w14:paraId="070906D5" w14:textId="77777777" w:rsidR="0012038C" w:rsidRPr="0012038C" w:rsidRDefault="0012038C" w:rsidP="0012038C">
            <w:pPr>
              <w:rPr>
                <w:rFonts w:cs="Arial"/>
                <w:color w:val="000000"/>
                <w:szCs w:val="20"/>
              </w:rPr>
            </w:pPr>
            <w:r w:rsidRPr="0012038C">
              <w:rPr>
                <w:rFonts w:cs="Arial"/>
                <w:color w:val="000000"/>
                <w:szCs w:val="20"/>
              </w:rPr>
              <w:t>Gegarandeerd vermogen x € 1 mrd.</w:t>
            </w:r>
            <w:r w:rsidRPr="0012038C">
              <w:rPr>
                <w:rFonts w:cs="Arial"/>
                <w:color w:val="000000"/>
                <w:sz w:val="16"/>
                <w:szCs w:val="16"/>
              </w:rPr>
              <w:t>1</w:t>
            </w:r>
          </w:p>
        </w:tc>
        <w:tc>
          <w:tcPr>
            <w:tcW w:w="1600" w:type="dxa"/>
            <w:tcBorders>
              <w:top w:val="nil"/>
              <w:left w:val="nil"/>
              <w:bottom w:val="nil"/>
              <w:right w:val="nil"/>
            </w:tcBorders>
            <w:shd w:val="clear" w:color="auto" w:fill="auto"/>
            <w:noWrap/>
            <w:vAlign w:val="bottom"/>
            <w:hideMark/>
          </w:tcPr>
          <w:p w14:paraId="0057D148" w14:textId="77777777" w:rsidR="0012038C" w:rsidRPr="0012038C" w:rsidRDefault="0012038C" w:rsidP="0012038C">
            <w:pPr>
              <w:rPr>
                <w:rFonts w:cs="Arial"/>
                <w:color w:val="000000"/>
                <w:szCs w:val="20"/>
              </w:rPr>
            </w:pPr>
            <w:r w:rsidRPr="0012038C">
              <w:rPr>
                <w:rFonts w:cs="Arial"/>
                <w:color w:val="000000"/>
                <w:szCs w:val="20"/>
              </w:rPr>
              <w:t xml:space="preserve">                   193 </w:t>
            </w:r>
          </w:p>
        </w:tc>
        <w:tc>
          <w:tcPr>
            <w:tcW w:w="1600" w:type="dxa"/>
            <w:tcBorders>
              <w:top w:val="nil"/>
              <w:left w:val="nil"/>
              <w:bottom w:val="nil"/>
              <w:right w:val="nil"/>
            </w:tcBorders>
            <w:shd w:val="clear" w:color="auto" w:fill="auto"/>
            <w:noWrap/>
            <w:vAlign w:val="bottom"/>
            <w:hideMark/>
          </w:tcPr>
          <w:p w14:paraId="4404579A" w14:textId="77777777" w:rsidR="0012038C" w:rsidRPr="0012038C" w:rsidRDefault="0012038C" w:rsidP="0012038C">
            <w:pPr>
              <w:rPr>
                <w:rFonts w:cs="Arial"/>
                <w:color w:val="000000"/>
                <w:szCs w:val="20"/>
              </w:rPr>
            </w:pPr>
            <w:r w:rsidRPr="0012038C">
              <w:rPr>
                <w:rFonts w:cs="Arial"/>
                <w:color w:val="000000"/>
                <w:szCs w:val="20"/>
              </w:rPr>
              <w:t xml:space="preserve">                   187 </w:t>
            </w:r>
          </w:p>
        </w:tc>
        <w:tc>
          <w:tcPr>
            <w:tcW w:w="1600" w:type="dxa"/>
            <w:tcBorders>
              <w:top w:val="nil"/>
              <w:left w:val="nil"/>
              <w:bottom w:val="nil"/>
              <w:right w:val="nil"/>
            </w:tcBorders>
            <w:shd w:val="clear" w:color="auto" w:fill="auto"/>
            <w:noWrap/>
            <w:vAlign w:val="bottom"/>
            <w:hideMark/>
          </w:tcPr>
          <w:p w14:paraId="75A17B5F" w14:textId="77777777" w:rsidR="0012038C" w:rsidRPr="0012038C" w:rsidRDefault="0012038C" w:rsidP="0012038C">
            <w:pPr>
              <w:rPr>
                <w:rFonts w:cs="Arial"/>
                <w:color w:val="000000"/>
                <w:szCs w:val="20"/>
              </w:rPr>
            </w:pPr>
            <w:r w:rsidRPr="0012038C">
              <w:rPr>
                <w:rFonts w:cs="Arial"/>
                <w:color w:val="000000"/>
                <w:szCs w:val="20"/>
              </w:rPr>
              <w:t xml:space="preserve">                   176 </w:t>
            </w:r>
          </w:p>
        </w:tc>
      </w:tr>
      <w:tr w:rsidR="0012038C" w:rsidRPr="0012038C" w14:paraId="67FA5DA1" w14:textId="77777777" w:rsidTr="0012038C">
        <w:trPr>
          <w:trHeight w:val="255"/>
        </w:trPr>
        <w:tc>
          <w:tcPr>
            <w:tcW w:w="3720" w:type="dxa"/>
            <w:tcBorders>
              <w:top w:val="nil"/>
              <w:left w:val="nil"/>
              <w:bottom w:val="nil"/>
              <w:right w:val="nil"/>
            </w:tcBorders>
            <w:shd w:val="clear" w:color="auto" w:fill="auto"/>
            <w:noWrap/>
            <w:vAlign w:val="bottom"/>
            <w:hideMark/>
          </w:tcPr>
          <w:p w14:paraId="55883481" w14:textId="77777777" w:rsidR="0012038C" w:rsidRPr="0012038C" w:rsidRDefault="0012038C" w:rsidP="0012038C">
            <w:pPr>
              <w:rPr>
                <w:rFonts w:cs="Arial"/>
                <w:color w:val="000000"/>
                <w:szCs w:val="20"/>
              </w:rPr>
            </w:pPr>
            <w:r w:rsidRPr="0012038C">
              <w:rPr>
                <w:rFonts w:cs="Arial"/>
                <w:color w:val="000000"/>
                <w:szCs w:val="20"/>
              </w:rPr>
              <w:t>Garantievermogen NHG x € 1 mln.</w:t>
            </w:r>
            <w:r w:rsidRPr="0012038C">
              <w:rPr>
                <w:rFonts w:cs="Arial"/>
                <w:color w:val="000000"/>
                <w:sz w:val="16"/>
                <w:szCs w:val="16"/>
              </w:rPr>
              <w:t>2</w:t>
            </w:r>
          </w:p>
        </w:tc>
        <w:tc>
          <w:tcPr>
            <w:tcW w:w="1600" w:type="dxa"/>
            <w:tcBorders>
              <w:top w:val="nil"/>
              <w:left w:val="nil"/>
              <w:bottom w:val="nil"/>
              <w:right w:val="nil"/>
            </w:tcBorders>
            <w:shd w:val="clear" w:color="auto" w:fill="auto"/>
            <w:noWrap/>
            <w:vAlign w:val="bottom"/>
            <w:hideMark/>
          </w:tcPr>
          <w:p w14:paraId="6553261B" w14:textId="77777777" w:rsidR="0012038C" w:rsidRPr="0012038C" w:rsidRDefault="0012038C" w:rsidP="0012038C">
            <w:pPr>
              <w:rPr>
                <w:rFonts w:cs="Arial"/>
                <w:color w:val="000000"/>
                <w:szCs w:val="20"/>
              </w:rPr>
            </w:pPr>
            <w:r w:rsidRPr="0012038C">
              <w:rPr>
                <w:rFonts w:cs="Arial"/>
                <w:color w:val="000000"/>
                <w:szCs w:val="20"/>
              </w:rPr>
              <w:t xml:space="preserve">                   966 </w:t>
            </w:r>
          </w:p>
        </w:tc>
        <w:tc>
          <w:tcPr>
            <w:tcW w:w="1600" w:type="dxa"/>
            <w:tcBorders>
              <w:top w:val="nil"/>
              <w:left w:val="nil"/>
              <w:bottom w:val="nil"/>
              <w:right w:val="nil"/>
            </w:tcBorders>
            <w:shd w:val="clear" w:color="auto" w:fill="auto"/>
            <w:noWrap/>
            <w:vAlign w:val="bottom"/>
            <w:hideMark/>
          </w:tcPr>
          <w:p w14:paraId="41E9D391" w14:textId="77777777" w:rsidR="0012038C" w:rsidRPr="0012038C" w:rsidRDefault="0012038C" w:rsidP="0012038C">
            <w:pPr>
              <w:rPr>
                <w:rFonts w:cs="Arial"/>
                <w:color w:val="000000"/>
                <w:szCs w:val="20"/>
              </w:rPr>
            </w:pPr>
            <w:r w:rsidRPr="0012038C">
              <w:rPr>
                <w:rFonts w:cs="Arial"/>
                <w:color w:val="000000"/>
                <w:szCs w:val="20"/>
              </w:rPr>
              <w:t xml:space="preserve">                   889 </w:t>
            </w:r>
          </w:p>
        </w:tc>
        <w:tc>
          <w:tcPr>
            <w:tcW w:w="1600" w:type="dxa"/>
            <w:tcBorders>
              <w:top w:val="nil"/>
              <w:left w:val="nil"/>
              <w:bottom w:val="nil"/>
              <w:right w:val="nil"/>
            </w:tcBorders>
            <w:shd w:val="clear" w:color="auto" w:fill="auto"/>
            <w:noWrap/>
            <w:vAlign w:val="bottom"/>
            <w:hideMark/>
          </w:tcPr>
          <w:p w14:paraId="426641E2" w14:textId="77777777" w:rsidR="0012038C" w:rsidRPr="0012038C" w:rsidRDefault="0012038C" w:rsidP="0012038C">
            <w:pPr>
              <w:rPr>
                <w:rFonts w:cs="Arial"/>
                <w:color w:val="000000"/>
                <w:szCs w:val="20"/>
              </w:rPr>
            </w:pPr>
            <w:r w:rsidRPr="0012038C">
              <w:rPr>
                <w:rFonts w:cs="Arial"/>
                <w:color w:val="000000"/>
                <w:szCs w:val="20"/>
              </w:rPr>
              <w:t xml:space="preserve">                   808 </w:t>
            </w:r>
          </w:p>
        </w:tc>
      </w:tr>
      <w:tr w:rsidR="0012038C" w:rsidRPr="0012038C" w14:paraId="31A1E544" w14:textId="77777777" w:rsidTr="0012038C">
        <w:trPr>
          <w:trHeight w:val="255"/>
        </w:trPr>
        <w:tc>
          <w:tcPr>
            <w:tcW w:w="3720" w:type="dxa"/>
            <w:tcBorders>
              <w:top w:val="nil"/>
              <w:left w:val="nil"/>
              <w:bottom w:val="single" w:sz="4" w:space="0" w:color="auto"/>
              <w:right w:val="nil"/>
            </w:tcBorders>
            <w:shd w:val="clear" w:color="auto" w:fill="auto"/>
            <w:noWrap/>
            <w:vAlign w:val="bottom"/>
            <w:hideMark/>
          </w:tcPr>
          <w:p w14:paraId="0AE6E439" w14:textId="77777777" w:rsidR="0012038C" w:rsidRPr="0012038C" w:rsidRDefault="0012038C" w:rsidP="0012038C">
            <w:pPr>
              <w:rPr>
                <w:rFonts w:cs="Arial"/>
                <w:color w:val="000000"/>
                <w:szCs w:val="20"/>
              </w:rPr>
            </w:pPr>
            <w:r w:rsidRPr="0012038C">
              <w:rPr>
                <w:rFonts w:cs="Arial"/>
                <w:color w:val="000000"/>
                <w:szCs w:val="20"/>
              </w:rPr>
              <w:t xml:space="preserve">Kapitaalratio </w:t>
            </w:r>
            <w:r w:rsidRPr="0012038C">
              <w:rPr>
                <w:rFonts w:cs="Arial"/>
                <w:color w:val="000000"/>
                <w:sz w:val="16"/>
                <w:szCs w:val="16"/>
              </w:rPr>
              <w:t>3</w:t>
            </w:r>
          </w:p>
        </w:tc>
        <w:tc>
          <w:tcPr>
            <w:tcW w:w="1600" w:type="dxa"/>
            <w:tcBorders>
              <w:top w:val="nil"/>
              <w:left w:val="nil"/>
              <w:bottom w:val="single" w:sz="4" w:space="0" w:color="auto"/>
              <w:right w:val="nil"/>
            </w:tcBorders>
            <w:shd w:val="clear" w:color="auto" w:fill="auto"/>
            <w:noWrap/>
            <w:vAlign w:val="bottom"/>
            <w:hideMark/>
          </w:tcPr>
          <w:p w14:paraId="56CE266A" w14:textId="77777777" w:rsidR="0012038C" w:rsidRPr="0012038C" w:rsidRDefault="0012038C" w:rsidP="0012038C">
            <w:pPr>
              <w:jc w:val="right"/>
              <w:rPr>
                <w:rFonts w:cs="Arial"/>
                <w:color w:val="000000"/>
                <w:szCs w:val="20"/>
              </w:rPr>
            </w:pPr>
            <w:r w:rsidRPr="0012038C">
              <w:rPr>
                <w:rFonts w:cs="Arial"/>
                <w:color w:val="000000"/>
                <w:szCs w:val="20"/>
              </w:rPr>
              <w:t>0,50%</w:t>
            </w:r>
          </w:p>
        </w:tc>
        <w:tc>
          <w:tcPr>
            <w:tcW w:w="1600" w:type="dxa"/>
            <w:tcBorders>
              <w:top w:val="nil"/>
              <w:left w:val="nil"/>
              <w:bottom w:val="single" w:sz="4" w:space="0" w:color="auto"/>
              <w:right w:val="nil"/>
            </w:tcBorders>
            <w:shd w:val="clear" w:color="auto" w:fill="auto"/>
            <w:noWrap/>
            <w:vAlign w:val="bottom"/>
            <w:hideMark/>
          </w:tcPr>
          <w:p w14:paraId="3DA483D4" w14:textId="77777777" w:rsidR="0012038C" w:rsidRPr="0012038C" w:rsidRDefault="0012038C" w:rsidP="0012038C">
            <w:pPr>
              <w:jc w:val="right"/>
              <w:rPr>
                <w:rFonts w:cs="Arial"/>
                <w:color w:val="000000"/>
                <w:szCs w:val="20"/>
              </w:rPr>
            </w:pPr>
            <w:r w:rsidRPr="0012038C">
              <w:rPr>
                <w:rFonts w:cs="Arial"/>
                <w:color w:val="000000"/>
                <w:szCs w:val="20"/>
              </w:rPr>
              <w:t>0,47%</w:t>
            </w:r>
          </w:p>
        </w:tc>
        <w:tc>
          <w:tcPr>
            <w:tcW w:w="1600" w:type="dxa"/>
            <w:tcBorders>
              <w:top w:val="nil"/>
              <w:left w:val="nil"/>
              <w:bottom w:val="single" w:sz="4" w:space="0" w:color="auto"/>
              <w:right w:val="nil"/>
            </w:tcBorders>
            <w:shd w:val="clear" w:color="auto" w:fill="auto"/>
            <w:noWrap/>
            <w:vAlign w:val="bottom"/>
            <w:hideMark/>
          </w:tcPr>
          <w:p w14:paraId="6B623541" w14:textId="77777777" w:rsidR="0012038C" w:rsidRPr="0012038C" w:rsidRDefault="0012038C" w:rsidP="0012038C">
            <w:pPr>
              <w:jc w:val="right"/>
              <w:rPr>
                <w:rFonts w:cs="Arial"/>
                <w:color w:val="000000"/>
                <w:szCs w:val="20"/>
              </w:rPr>
            </w:pPr>
            <w:r w:rsidRPr="0012038C">
              <w:rPr>
                <w:rFonts w:cs="Arial"/>
                <w:color w:val="000000"/>
                <w:szCs w:val="20"/>
              </w:rPr>
              <w:t>0,46%</w:t>
            </w:r>
          </w:p>
        </w:tc>
      </w:tr>
      <w:tr w:rsidR="0012038C" w:rsidRPr="0012038C" w14:paraId="278EE823" w14:textId="77777777" w:rsidTr="0012038C">
        <w:trPr>
          <w:trHeight w:val="255"/>
        </w:trPr>
        <w:tc>
          <w:tcPr>
            <w:tcW w:w="3720" w:type="dxa"/>
            <w:tcBorders>
              <w:top w:val="nil"/>
              <w:left w:val="nil"/>
              <w:bottom w:val="nil"/>
              <w:right w:val="nil"/>
            </w:tcBorders>
            <w:shd w:val="clear" w:color="auto" w:fill="auto"/>
            <w:noWrap/>
            <w:vAlign w:val="bottom"/>
            <w:hideMark/>
          </w:tcPr>
          <w:p w14:paraId="2AE535D9" w14:textId="77777777" w:rsidR="0012038C" w:rsidRPr="0012038C" w:rsidRDefault="0012038C" w:rsidP="0012038C">
            <w:pPr>
              <w:jc w:val="right"/>
              <w:rPr>
                <w:rFonts w:cs="Arial"/>
                <w:color w:val="000000"/>
                <w:szCs w:val="20"/>
              </w:rPr>
            </w:pPr>
          </w:p>
        </w:tc>
        <w:tc>
          <w:tcPr>
            <w:tcW w:w="1600" w:type="dxa"/>
            <w:tcBorders>
              <w:top w:val="nil"/>
              <w:left w:val="nil"/>
              <w:bottom w:val="nil"/>
              <w:right w:val="nil"/>
            </w:tcBorders>
            <w:shd w:val="clear" w:color="auto" w:fill="auto"/>
            <w:noWrap/>
            <w:vAlign w:val="bottom"/>
            <w:hideMark/>
          </w:tcPr>
          <w:p w14:paraId="364F9EFF" w14:textId="77777777" w:rsidR="0012038C" w:rsidRPr="0012038C" w:rsidRDefault="0012038C" w:rsidP="0012038C">
            <w:pPr>
              <w:rPr>
                <w:rFonts w:ascii="Times New Roman" w:hAnsi="Times New Roman"/>
                <w:szCs w:val="20"/>
              </w:rPr>
            </w:pPr>
          </w:p>
        </w:tc>
        <w:tc>
          <w:tcPr>
            <w:tcW w:w="1600" w:type="dxa"/>
            <w:tcBorders>
              <w:top w:val="nil"/>
              <w:left w:val="nil"/>
              <w:bottom w:val="nil"/>
              <w:right w:val="nil"/>
            </w:tcBorders>
            <w:shd w:val="clear" w:color="auto" w:fill="auto"/>
            <w:noWrap/>
            <w:vAlign w:val="bottom"/>
            <w:hideMark/>
          </w:tcPr>
          <w:p w14:paraId="27937C52" w14:textId="77777777" w:rsidR="0012038C" w:rsidRPr="0012038C" w:rsidRDefault="0012038C" w:rsidP="0012038C">
            <w:pPr>
              <w:rPr>
                <w:rFonts w:ascii="Times New Roman" w:hAnsi="Times New Roman"/>
                <w:szCs w:val="20"/>
              </w:rPr>
            </w:pPr>
          </w:p>
        </w:tc>
        <w:tc>
          <w:tcPr>
            <w:tcW w:w="1600" w:type="dxa"/>
            <w:tcBorders>
              <w:top w:val="nil"/>
              <w:left w:val="nil"/>
              <w:bottom w:val="nil"/>
              <w:right w:val="nil"/>
            </w:tcBorders>
            <w:shd w:val="clear" w:color="auto" w:fill="auto"/>
            <w:noWrap/>
            <w:vAlign w:val="bottom"/>
            <w:hideMark/>
          </w:tcPr>
          <w:p w14:paraId="60152DE7" w14:textId="77777777" w:rsidR="0012038C" w:rsidRPr="0012038C" w:rsidRDefault="0012038C" w:rsidP="0012038C">
            <w:pPr>
              <w:rPr>
                <w:rFonts w:ascii="Times New Roman" w:hAnsi="Times New Roman"/>
                <w:szCs w:val="20"/>
              </w:rPr>
            </w:pPr>
          </w:p>
        </w:tc>
      </w:tr>
      <w:tr w:rsidR="0012038C" w:rsidRPr="0012038C" w14:paraId="5BF69EA7" w14:textId="77777777" w:rsidTr="0012038C">
        <w:trPr>
          <w:trHeight w:val="255"/>
        </w:trPr>
        <w:tc>
          <w:tcPr>
            <w:tcW w:w="6920" w:type="dxa"/>
            <w:gridSpan w:val="3"/>
            <w:tcBorders>
              <w:top w:val="nil"/>
              <w:left w:val="nil"/>
              <w:bottom w:val="nil"/>
              <w:right w:val="nil"/>
            </w:tcBorders>
            <w:shd w:val="clear" w:color="auto" w:fill="auto"/>
            <w:noWrap/>
            <w:vAlign w:val="bottom"/>
            <w:hideMark/>
          </w:tcPr>
          <w:p w14:paraId="306C4BCD" w14:textId="77777777" w:rsidR="0012038C" w:rsidRPr="0012038C" w:rsidRDefault="0012038C" w:rsidP="0012038C">
            <w:pPr>
              <w:rPr>
                <w:rFonts w:cs="Arial"/>
                <w:color w:val="000000"/>
                <w:sz w:val="16"/>
                <w:szCs w:val="16"/>
              </w:rPr>
            </w:pPr>
            <w:r w:rsidRPr="0012038C">
              <w:rPr>
                <w:rFonts w:cs="Arial"/>
                <w:color w:val="000000"/>
                <w:sz w:val="16"/>
                <w:szCs w:val="16"/>
              </w:rPr>
              <w:t>1. Het gegarandeerd vermogen is de som van de nominale waarde minus de</w:t>
            </w:r>
          </w:p>
        </w:tc>
        <w:tc>
          <w:tcPr>
            <w:tcW w:w="1600" w:type="dxa"/>
            <w:tcBorders>
              <w:top w:val="nil"/>
              <w:left w:val="nil"/>
              <w:bottom w:val="nil"/>
              <w:right w:val="nil"/>
            </w:tcBorders>
            <w:shd w:val="clear" w:color="auto" w:fill="auto"/>
            <w:noWrap/>
            <w:vAlign w:val="bottom"/>
            <w:hideMark/>
          </w:tcPr>
          <w:p w14:paraId="45A4BD15" w14:textId="77777777" w:rsidR="0012038C" w:rsidRPr="0012038C" w:rsidRDefault="0012038C" w:rsidP="0012038C">
            <w:pPr>
              <w:rPr>
                <w:rFonts w:cs="Arial"/>
                <w:color w:val="000000"/>
                <w:sz w:val="16"/>
                <w:szCs w:val="16"/>
              </w:rPr>
            </w:pPr>
          </w:p>
        </w:tc>
      </w:tr>
      <w:tr w:rsidR="0012038C" w:rsidRPr="0012038C" w14:paraId="192DEB55" w14:textId="77777777" w:rsidTr="0012038C">
        <w:trPr>
          <w:trHeight w:val="255"/>
        </w:trPr>
        <w:tc>
          <w:tcPr>
            <w:tcW w:w="5320" w:type="dxa"/>
            <w:gridSpan w:val="2"/>
            <w:tcBorders>
              <w:top w:val="nil"/>
              <w:left w:val="nil"/>
              <w:bottom w:val="nil"/>
              <w:right w:val="nil"/>
            </w:tcBorders>
            <w:shd w:val="clear" w:color="auto" w:fill="auto"/>
            <w:noWrap/>
            <w:vAlign w:val="bottom"/>
            <w:hideMark/>
          </w:tcPr>
          <w:p w14:paraId="1F314636" w14:textId="77777777" w:rsidR="0012038C" w:rsidRPr="0012038C" w:rsidRDefault="0012038C" w:rsidP="0012038C">
            <w:pPr>
              <w:rPr>
                <w:rFonts w:cs="Arial"/>
                <w:color w:val="000000"/>
                <w:sz w:val="16"/>
                <w:szCs w:val="16"/>
              </w:rPr>
            </w:pPr>
            <w:r w:rsidRPr="0012038C">
              <w:rPr>
                <w:rFonts w:cs="Arial"/>
                <w:color w:val="000000"/>
                <w:sz w:val="16"/>
                <w:szCs w:val="16"/>
              </w:rPr>
              <w:t>annuïtaire daling van alle lopende leningen met NHG.</w:t>
            </w:r>
          </w:p>
        </w:tc>
        <w:tc>
          <w:tcPr>
            <w:tcW w:w="1600" w:type="dxa"/>
            <w:tcBorders>
              <w:top w:val="nil"/>
              <w:left w:val="nil"/>
              <w:bottom w:val="nil"/>
              <w:right w:val="nil"/>
            </w:tcBorders>
            <w:shd w:val="clear" w:color="auto" w:fill="auto"/>
            <w:noWrap/>
            <w:vAlign w:val="bottom"/>
            <w:hideMark/>
          </w:tcPr>
          <w:p w14:paraId="405F3B6A" w14:textId="77777777" w:rsidR="0012038C" w:rsidRPr="0012038C" w:rsidRDefault="0012038C" w:rsidP="0012038C">
            <w:pPr>
              <w:rPr>
                <w:rFonts w:cs="Arial"/>
                <w:color w:val="000000"/>
                <w:sz w:val="16"/>
                <w:szCs w:val="16"/>
              </w:rPr>
            </w:pPr>
          </w:p>
        </w:tc>
        <w:tc>
          <w:tcPr>
            <w:tcW w:w="1600" w:type="dxa"/>
            <w:tcBorders>
              <w:top w:val="nil"/>
              <w:left w:val="nil"/>
              <w:bottom w:val="nil"/>
              <w:right w:val="nil"/>
            </w:tcBorders>
            <w:shd w:val="clear" w:color="auto" w:fill="auto"/>
            <w:noWrap/>
            <w:vAlign w:val="bottom"/>
            <w:hideMark/>
          </w:tcPr>
          <w:p w14:paraId="20773B62" w14:textId="77777777" w:rsidR="0012038C" w:rsidRPr="0012038C" w:rsidRDefault="0012038C" w:rsidP="0012038C">
            <w:pPr>
              <w:rPr>
                <w:rFonts w:ascii="Times New Roman" w:hAnsi="Times New Roman"/>
                <w:szCs w:val="20"/>
              </w:rPr>
            </w:pPr>
          </w:p>
        </w:tc>
      </w:tr>
      <w:tr w:rsidR="0012038C" w:rsidRPr="0012038C" w14:paraId="0E238A54" w14:textId="77777777" w:rsidTr="0012038C">
        <w:trPr>
          <w:trHeight w:val="255"/>
        </w:trPr>
        <w:tc>
          <w:tcPr>
            <w:tcW w:w="6920" w:type="dxa"/>
            <w:gridSpan w:val="3"/>
            <w:tcBorders>
              <w:top w:val="nil"/>
              <w:left w:val="nil"/>
              <w:bottom w:val="nil"/>
              <w:right w:val="nil"/>
            </w:tcBorders>
            <w:shd w:val="clear" w:color="auto" w:fill="auto"/>
            <w:noWrap/>
            <w:vAlign w:val="bottom"/>
            <w:hideMark/>
          </w:tcPr>
          <w:p w14:paraId="11A9CF5C" w14:textId="77777777" w:rsidR="0012038C" w:rsidRPr="0012038C" w:rsidRDefault="0012038C" w:rsidP="0012038C">
            <w:pPr>
              <w:rPr>
                <w:rFonts w:cs="Arial"/>
                <w:color w:val="000000"/>
                <w:sz w:val="16"/>
                <w:szCs w:val="16"/>
              </w:rPr>
            </w:pPr>
            <w:r w:rsidRPr="0012038C">
              <w:rPr>
                <w:rFonts w:cs="Arial"/>
                <w:color w:val="000000"/>
                <w:sz w:val="16"/>
                <w:szCs w:val="16"/>
              </w:rPr>
              <w:t>2. Het garantievermogen is het vermogen van de Stichting WEW, waaruit toekomstige</w:t>
            </w:r>
          </w:p>
        </w:tc>
        <w:tc>
          <w:tcPr>
            <w:tcW w:w="1600" w:type="dxa"/>
            <w:tcBorders>
              <w:top w:val="nil"/>
              <w:left w:val="nil"/>
              <w:bottom w:val="nil"/>
              <w:right w:val="nil"/>
            </w:tcBorders>
            <w:shd w:val="clear" w:color="auto" w:fill="auto"/>
            <w:noWrap/>
            <w:vAlign w:val="bottom"/>
            <w:hideMark/>
          </w:tcPr>
          <w:p w14:paraId="3A84A7BB" w14:textId="77777777" w:rsidR="0012038C" w:rsidRPr="0012038C" w:rsidRDefault="0012038C" w:rsidP="0012038C">
            <w:pPr>
              <w:rPr>
                <w:rFonts w:cs="Arial"/>
                <w:color w:val="000000"/>
                <w:sz w:val="16"/>
                <w:szCs w:val="16"/>
              </w:rPr>
            </w:pPr>
          </w:p>
        </w:tc>
      </w:tr>
      <w:tr w:rsidR="0012038C" w:rsidRPr="0012038C" w14:paraId="746104AF" w14:textId="77777777" w:rsidTr="0012038C">
        <w:trPr>
          <w:trHeight w:val="255"/>
        </w:trPr>
        <w:tc>
          <w:tcPr>
            <w:tcW w:w="3720" w:type="dxa"/>
            <w:tcBorders>
              <w:top w:val="nil"/>
              <w:left w:val="nil"/>
              <w:bottom w:val="nil"/>
              <w:right w:val="nil"/>
            </w:tcBorders>
            <w:shd w:val="clear" w:color="auto" w:fill="auto"/>
            <w:noWrap/>
            <w:vAlign w:val="bottom"/>
            <w:hideMark/>
          </w:tcPr>
          <w:p w14:paraId="047E6062" w14:textId="77777777" w:rsidR="0012038C" w:rsidRPr="0012038C" w:rsidRDefault="0012038C" w:rsidP="0012038C">
            <w:pPr>
              <w:rPr>
                <w:rFonts w:cs="Arial"/>
                <w:color w:val="000000"/>
                <w:sz w:val="16"/>
                <w:szCs w:val="16"/>
              </w:rPr>
            </w:pPr>
            <w:r w:rsidRPr="0012038C">
              <w:rPr>
                <w:rFonts w:cs="Arial"/>
                <w:color w:val="000000"/>
                <w:sz w:val="16"/>
                <w:szCs w:val="16"/>
              </w:rPr>
              <w:t>verliezen worden betaald.</w:t>
            </w:r>
          </w:p>
        </w:tc>
        <w:tc>
          <w:tcPr>
            <w:tcW w:w="1600" w:type="dxa"/>
            <w:tcBorders>
              <w:top w:val="nil"/>
              <w:left w:val="nil"/>
              <w:bottom w:val="nil"/>
              <w:right w:val="nil"/>
            </w:tcBorders>
            <w:shd w:val="clear" w:color="auto" w:fill="auto"/>
            <w:noWrap/>
            <w:vAlign w:val="bottom"/>
            <w:hideMark/>
          </w:tcPr>
          <w:p w14:paraId="7F4434FD" w14:textId="77777777" w:rsidR="0012038C" w:rsidRPr="0012038C" w:rsidRDefault="0012038C" w:rsidP="0012038C">
            <w:pPr>
              <w:rPr>
                <w:rFonts w:cs="Arial"/>
                <w:color w:val="000000"/>
                <w:sz w:val="16"/>
                <w:szCs w:val="16"/>
              </w:rPr>
            </w:pPr>
          </w:p>
        </w:tc>
        <w:tc>
          <w:tcPr>
            <w:tcW w:w="1600" w:type="dxa"/>
            <w:tcBorders>
              <w:top w:val="nil"/>
              <w:left w:val="nil"/>
              <w:bottom w:val="nil"/>
              <w:right w:val="nil"/>
            </w:tcBorders>
            <w:shd w:val="clear" w:color="auto" w:fill="auto"/>
            <w:noWrap/>
            <w:vAlign w:val="bottom"/>
            <w:hideMark/>
          </w:tcPr>
          <w:p w14:paraId="76B1C03F" w14:textId="77777777" w:rsidR="0012038C" w:rsidRPr="0012038C" w:rsidRDefault="0012038C" w:rsidP="0012038C">
            <w:pPr>
              <w:rPr>
                <w:rFonts w:ascii="Times New Roman" w:hAnsi="Times New Roman"/>
                <w:szCs w:val="20"/>
              </w:rPr>
            </w:pPr>
          </w:p>
        </w:tc>
        <w:tc>
          <w:tcPr>
            <w:tcW w:w="1600" w:type="dxa"/>
            <w:tcBorders>
              <w:top w:val="nil"/>
              <w:left w:val="nil"/>
              <w:bottom w:val="nil"/>
              <w:right w:val="nil"/>
            </w:tcBorders>
            <w:shd w:val="clear" w:color="auto" w:fill="auto"/>
            <w:noWrap/>
            <w:vAlign w:val="bottom"/>
            <w:hideMark/>
          </w:tcPr>
          <w:p w14:paraId="1C293849" w14:textId="77777777" w:rsidR="0012038C" w:rsidRPr="0012038C" w:rsidRDefault="0012038C" w:rsidP="0012038C">
            <w:pPr>
              <w:rPr>
                <w:rFonts w:ascii="Times New Roman" w:hAnsi="Times New Roman"/>
                <w:szCs w:val="20"/>
              </w:rPr>
            </w:pPr>
          </w:p>
        </w:tc>
      </w:tr>
      <w:tr w:rsidR="0012038C" w:rsidRPr="0012038C" w14:paraId="06B876D9" w14:textId="77777777" w:rsidTr="0012038C">
        <w:trPr>
          <w:trHeight w:val="255"/>
        </w:trPr>
        <w:tc>
          <w:tcPr>
            <w:tcW w:w="6920" w:type="dxa"/>
            <w:gridSpan w:val="3"/>
            <w:tcBorders>
              <w:top w:val="nil"/>
              <w:left w:val="nil"/>
              <w:bottom w:val="nil"/>
              <w:right w:val="nil"/>
            </w:tcBorders>
            <w:shd w:val="clear" w:color="auto" w:fill="auto"/>
            <w:noWrap/>
            <w:vAlign w:val="bottom"/>
            <w:hideMark/>
          </w:tcPr>
          <w:p w14:paraId="48FDA84E" w14:textId="77777777" w:rsidR="0012038C" w:rsidRPr="0012038C" w:rsidRDefault="0012038C" w:rsidP="0012038C">
            <w:pPr>
              <w:rPr>
                <w:rFonts w:cs="Arial"/>
                <w:color w:val="000000"/>
                <w:sz w:val="16"/>
                <w:szCs w:val="16"/>
              </w:rPr>
            </w:pPr>
            <w:r w:rsidRPr="0012038C">
              <w:rPr>
                <w:rFonts w:cs="Arial"/>
                <w:color w:val="000000"/>
                <w:sz w:val="16"/>
                <w:szCs w:val="16"/>
              </w:rPr>
              <w:t>3. De verhouding tussen het gegarandeerd vermogen en het garantievermogen.</w:t>
            </w:r>
          </w:p>
        </w:tc>
        <w:tc>
          <w:tcPr>
            <w:tcW w:w="1600" w:type="dxa"/>
            <w:tcBorders>
              <w:top w:val="nil"/>
              <w:left w:val="nil"/>
              <w:bottom w:val="nil"/>
              <w:right w:val="nil"/>
            </w:tcBorders>
            <w:shd w:val="clear" w:color="auto" w:fill="auto"/>
            <w:noWrap/>
            <w:vAlign w:val="bottom"/>
            <w:hideMark/>
          </w:tcPr>
          <w:p w14:paraId="462EA68E" w14:textId="77777777" w:rsidR="0012038C" w:rsidRPr="0012038C" w:rsidRDefault="0012038C" w:rsidP="0012038C">
            <w:pPr>
              <w:rPr>
                <w:rFonts w:cs="Arial"/>
                <w:color w:val="000000"/>
                <w:sz w:val="16"/>
                <w:szCs w:val="16"/>
              </w:rPr>
            </w:pPr>
          </w:p>
        </w:tc>
      </w:tr>
    </w:tbl>
    <w:p w14:paraId="2C0E1138" w14:textId="40917F95" w:rsidR="00FE518F" w:rsidRDefault="00FE518F" w:rsidP="00187F24">
      <w:pPr>
        <w:keepNext/>
        <w:keepLines/>
        <w:rPr>
          <w:rFonts w:cs="Arial"/>
          <w:szCs w:val="20"/>
        </w:rPr>
      </w:pPr>
    </w:p>
    <w:p w14:paraId="32B74A11" w14:textId="77777777" w:rsidR="009C486A" w:rsidRDefault="009C486A" w:rsidP="00187F24">
      <w:pPr>
        <w:keepNext/>
        <w:keepLines/>
        <w:rPr>
          <w:rFonts w:cs="Arial"/>
          <w:szCs w:val="20"/>
        </w:rPr>
      </w:pPr>
    </w:p>
    <w:p w14:paraId="3CA134E9" w14:textId="77777777" w:rsidR="00344327" w:rsidRPr="00344327" w:rsidRDefault="00344327" w:rsidP="00795B3C">
      <w:pPr>
        <w:keepNext/>
        <w:keepLines/>
        <w:rPr>
          <w:rStyle w:val="Kop1Char"/>
          <w:rFonts w:ascii="Arial" w:hAnsi="Arial" w:cs="Arial"/>
          <w:color w:val="auto"/>
          <w:sz w:val="20"/>
          <w:szCs w:val="20"/>
        </w:rPr>
      </w:pPr>
      <w:r w:rsidRPr="00344327">
        <w:rPr>
          <w:rStyle w:val="Kop1Char"/>
          <w:rFonts w:ascii="Arial" w:hAnsi="Arial" w:cs="Arial"/>
          <w:color w:val="auto"/>
          <w:sz w:val="20"/>
          <w:szCs w:val="20"/>
        </w:rPr>
        <w:t>Garantievermogen neemt verder toe</w:t>
      </w:r>
    </w:p>
    <w:p w14:paraId="797991E4" w14:textId="2C8B3CEC" w:rsidR="00795B3C" w:rsidRPr="0012038C" w:rsidRDefault="0012038C" w:rsidP="0012038C">
      <w:r w:rsidRPr="0012038C">
        <w:t>Het garantievermogen van het waarborgfonds is in 2016 verder toegenomen naar in totaal € 966 miljoen. De stijging is toe te schrijven aan de instroom van nieuwe garanties en de verdere afname van het aantal verliesdeclaraties en het gemiddelde verliesbedrag. De opbouw van het garantievermogen is bedoeld om woningeigenaren ook in de toekomst te ondersteunen bij problemen, en onder ongunstige conjuncturele omstandigheden toenemende verliezen te kunnen opvangen. Dit vangnet is een belangrijk onderdeel van NHG en beperkt de financiële risico’s van eigenwoningbezit voor de consument.</w:t>
      </w:r>
    </w:p>
    <w:p w14:paraId="47DEDFF9" w14:textId="77777777" w:rsidR="00C27735" w:rsidRDefault="00C27735" w:rsidP="00187F24">
      <w:pPr>
        <w:keepNext/>
        <w:keepLines/>
        <w:rPr>
          <w:rStyle w:val="Kop1Char"/>
          <w:rFonts w:ascii="Arial" w:hAnsi="Arial" w:cs="Arial"/>
          <w:color w:val="auto"/>
          <w:sz w:val="20"/>
          <w:szCs w:val="20"/>
        </w:rPr>
      </w:pPr>
    </w:p>
    <w:p w14:paraId="4C432EF2" w14:textId="77777777" w:rsidR="00835D18" w:rsidRDefault="00835D18" w:rsidP="00EB4E70">
      <w:pPr>
        <w:rPr>
          <w:rFonts w:cs="Arial"/>
          <w:szCs w:val="20"/>
        </w:rPr>
      </w:pPr>
    </w:p>
    <w:p w14:paraId="486CCB70" w14:textId="77777777" w:rsidR="00316445" w:rsidRDefault="00316445">
      <w:pPr>
        <w:rPr>
          <w:rStyle w:val="Kop1Char"/>
          <w:rFonts w:ascii="Arial" w:hAnsi="Arial" w:cs="Arial"/>
          <w:color w:val="auto"/>
          <w:sz w:val="20"/>
          <w:szCs w:val="20"/>
          <w:u w:val="single"/>
        </w:rPr>
      </w:pPr>
      <w:r>
        <w:rPr>
          <w:rStyle w:val="Kop1Char"/>
          <w:rFonts w:ascii="Arial" w:hAnsi="Arial" w:cs="Arial"/>
          <w:color w:val="auto"/>
          <w:sz w:val="20"/>
          <w:szCs w:val="20"/>
          <w:u w:val="single"/>
        </w:rPr>
        <w:br w:type="page"/>
      </w:r>
      <w:bookmarkStart w:id="0" w:name="_GoBack"/>
      <w:bookmarkEnd w:id="0"/>
    </w:p>
    <w:p w14:paraId="10C55325" w14:textId="77777777" w:rsidR="004026F7" w:rsidRPr="00D25E77" w:rsidRDefault="004026F7" w:rsidP="004026F7">
      <w:pPr>
        <w:rPr>
          <w:rStyle w:val="Kop1Char"/>
          <w:rFonts w:ascii="Arial" w:hAnsi="Arial" w:cs="Arial"/>
          <w:color w:val="auto"/>
          <w:sz w:val="20"/>
          <w:szCs w:val="20"/>
          <w:u w:val="single"/>
        </w:rPr>
      </w:pPr>
      <w:r w:rsidRPr="00D25E77">
        <w:rPr>
          <w:rStyle w:val="Kop1Char"/>
          <w:rFonts w:ascii="Arial" w:hAnsi="Arial" w:cs="Arial"/>
          <w:color w:val="auto"/>
          <w:sz w:val="20"/>
          <w:szCs w:val="20"/>
          <w:u w:val="single"/>
        </w:rPr>
        <w:lastRenderedPageBreak/>
        <w:t>Rechterkolom</w:t>
      </w:r>
      <w:r w:rsidR="00D25E77" w:rsidRPr="00D25E77">
        <w:rPr>
          <w:rStyle w:val="Kop1Char"/>
          <w:rFonts w:ascii="Arial" w:hAnsi="Arial" w:cs="Arial"/>
          <w:color w:val="auto"/>
          <w:sz w:val="20"/>
          <w:szCs w:val="20"/>
          <w:u w:val="single"/>
        </w:rPr>
        <w:t xml:space="preserve">: </w:t>
      </w:r>
    </w:p>
    <w:p w14:paraId="7D13628B" w14:textId="77777777" w:rsidR="004026F7" w:rsidRDefault="00B63E83" w:rsidP="004026F7">
      <w:pPr>
        <w:rPr>
          <w:rFonts w:cs="Arial"/>
          <w:szCs w:val="20"/>
        </w:rPr>
      </w:pPr>
      <w:r>
        <w:rPr>
          <w:rFonts w:cs="Arial"/>
          <w:szCs w:val="20"/>
          <w:highlight w:val="lightGray"/>
        </w:rPr>
        <w:t>[</w:t>
      </w:r>
      <w:r w:rsidR="00D25E77">
        <w:rPr>
          <w:rFonts w:cs="Arial"/>
          <w:szCs w:val="20"/>
          <w:highlight w:val="lightGray"/>
        </w:rPr>
        <w:t>grafiek</w:t>
      </w:r>
      <w:r w:rsidR="004C6ED3">
        <w:rPr>
          <w:rFonts w:cs="Arial"/>
          <w:szCs w:val="20"/>
          <w:highlight w:val="lightGray"/>
        </w:rPr>
        <w:t>,</w:t>
      </w:r>
      <w:r w:rsidR="00D25E77">
        <w:rPr>
          <w:rFonts w:cs="Arial"/>
          <w:szCs w:val="20"/>
          <w:highlight w:val="lightGray"/>
        </w:rPr>
        <w:t xml:space="preserve"> </w:t>
      </w:r>
      <w:r>
        <w:rPr>
          <w:rFonts w:cs="Arial"/>
          <w:szCs w:val="20"/>
          <w:highlight w:val="lightGray"/>
        </w:rPr>
        <w:t>100 woorden</w:t>
      </w:r>
      <w:r>
        <w:rPr>
          <w:rFonts w:cs="Arial"/>
          <w:szCs w:val="20"/>
        </w:rPr>
        <w:t>]</w:t>
      </w:r>
    </w:p>
    <w:p w14:paraId="28B5F2B4" w14:textId="77777777" w:rsidR="0012038C" w:rsidRDefault="0012038C" w:rsidP="004026F7">
      <w:pPr>
        <w:rPr>
          <w:rFonts w:cs="Arial"/>
          <w:szCs w:val="20"/>
        </w:rPr>
      </w:pPr>
    </w:p>
    <w:p w14:paraId="672CADB8" w14:textId="4C3CBE61" w:rsidR="0012038C" w:rsidRPr="0012038C" w:rsidRDefault="0012038C" w:rsidP="004026F7">
      <w:pPr>
        <w:rPr>
          <w:rFonts w:eastAsiaTheme="majorEastAsia" w:cs="Arial"/>
          <w:b/>
          <w:bCs/>
          <w:szCs w:val="20"/>
        </w:rPr>
      </w:pPr>
      <w:r w:rsidRPr="0012038C">
        <w:rPr>
          <w:rFonts w:eastAsiaTheme="majorEastAsia" w:cs="Arial"/>
          <w:b/>
          <w:bCs/>
          <w:szCs w:val="20"/>
        </w:rPr>
        <w:t>Verloop garantievermogen vs. woningprijsontwikkeling (2012=100)</w:t>
      </w:r>
    </w:p>
    <w:p w14:paraId="6BB85FDC" w14:textId="77777777" w:rsidR="00F2568F" w:rsidRDefault="00F2568F" w:rsidP="00F2568F">
      <w:pPr>
        <w:rPr>
          <w:rFonts w:cs="Arial"/>
          <w:szCs w:val="20"/>
        </w:rPr>
      </w:pPr>
    </w:p>
    <w:p w14:paraId="1B427462" w14:textId="77777777" w:rsidR="006A63EE" w:rsidRDefault="00316445" w:rsidP="00F2568F">
      <w:pPr>
        <w:rPr>
          <w:rFonts w:cs="Arial"/>
          <w:szCs w:val="20"/>
        </w:rPr>
      </w:pPr>
      <w:r>
        <w:rPr>
          <w:rFonts w:cs="Arial"/>
          <w:noProof/>
          <w:szCs w:val="20"/>
        </w:rPr>
        <w:drawing>
          <wp:inline distT="0" distB="0" distL="0" distR="0" wp14:anchorId="51E5B278" wp14:editId="73FC76BD">
            <wp:extent cx="4239672" cy="2736000"/>
            <wp:effectExtent l="0" t="0" r="889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9672" cy="2736000"/>
                    </a:xfrm>
                    <a:prstGeom prst="rect">
                      <a:avLst/>
                    </a:prstGeom>
                    <a:noFill/>
                  </pic:spPr>
                </pic:pic>
              </a:graphicData>
            </a:graphic>
          </wp:inline>
        </w:drawing>
      </w:r>
    </w:p>
    <w:p w14:paraId="5F779802" w14:textId="77777777" w:rsidR="006A63EE" w:rsidRDefault="006A63EE" w:rsidP="00F2568F">
      <w:pPr>
        <w:rPr>
          <w:rFonts w:cs="Arial"/>
          <w:szCs w:val="20"/>
        </w:rPr>
      </w:pPr>
    </w:p>
    <w:p w14:paraId="0A0F7EB7" w14:textId="77777777" w:rsidR="003C4FD5" w:rsidRPr="003C4FD5" w:rsidRDefault="003C4FD5" w:rsidP="003C4FD5">
      <w:pPr>
        <w:autoSpaceDE w:val="0"/>
        <w:autoSpaceDN w:val="0"/>
        <w:adjustRightInd w:val="0"/>
        <w:rPr>
          <w:rFonts w:ascii="ScalaSans" w:hAnsi="ScalaSans" w:cs="ScalaSans"/>
          <w:b/>
          <w:sz w:val="18"/>
          <w:szCs w:val="18"/>
        </w:rPr>
      </w:pPr>
      <w:r w:rsidRPr="003C4FD5">
        <w:rPr>
          <w:rFonts w:ascii="ScalaSans" w:hAnsi="ScalaSans" w:cs="ScalaSans"/>
          <w:b/>
          <w:sz w:val="18"/>
          <w:szCs w:val="18"/>
        </w:rPr>
        <w:t>Vooruitzichten waarborgfonds</w:t>
      </w:r>
      <w:r>
        <w:rPr>
          <w:rFonts w:ascii="ScalaSans" w:hAnsi="ScalaSans" w:cs="ScalaSans"/>
          <w:b/>
          <w:sz w:val="18"/>
          <w:szCs w:val="18"/>
        </w:rPr>
        <w:t xml:space="preserve"> verder verbeterd</w:t>
      </w:r>
    </w:p>
    <w:p w14:paraId="2CEFD996" w14:textId="4561A1A6" w:rsidR="0012038C" w:rsidRPr="0012038C" w:rsidRDefault="0012038C" w:rsidP="0012038C">
      <w:r w:rsidRPr="0012038C">
        <w:t>De afgelopen 3 jaar is het garantievermogen van het waarborgfonds toegenomen. Deze groei wordt deels verklaard door de weer aantrekkende woningmarkt en de stijgende huizenprijzen. Hierdoor blijft de instroom van garanties op niveau en nemen de verliezen af.</w:t>
      </w:r>
    </w:p>
    <w:p w14:paraId="3880A680" w14:textId="77777777" w:rsidR="0012038C" w:rsidRDefault="0012038C" w:rsidP="0012038C">
      <w:pPr>
        <w:autoSpaceDE w:val="0"/>
        <w:autoSpaceDN w:val="0"/>
        <w:adjustRightInd w:val="0"/>
        <w:rPr>
          <w:rFonts w:ascii="ScalaSansPro-Bold" w:hAnsi="ScalaSansPro-Bold" w:cs="ScalaSansPro-Bold"/>
          <w:b/>
          <w:bCs/>
          <w:szCs w:val="20"/>
        </w:rPr>
      </w:pPr>
    </w:p>
    <w:p w14:paraId="087B13FB" w14:textId="77777777" w:rsidR="0012038C" w:rsidRDefault="0012038C" w:rsidP="0012038C">
      <w:pPr>
        <w:autoSpaceDE w:val="0"/>
        <w:autoSpaceDN w:val="0"/>
        <w:adjustRightInd w:val="0"/>
        <w:rPr>
          <w:rFonts w:ascii="ScalaSansPro-Bold" w:hAnsi="ScalaSansPro-Bold" w:cs="ScalaSansPro-Bold"/>
          <w:b/>
          <w:bCs/>
          <w:szCs w:val="20"/>
        </w:rPr>
      </w:pPr>
      <w:r>
        <w:rPr>
          <w:rFonts w:ascii="ScalaSansPro-Bold" w:hAnsi="ScalaSansPro-Bold" w:cs="ScalaSansPro-Bold"/>
          <w:b/>
          <w:bCs/>
          <w:szCs w:val="20"/>
        </w:rPr>
        <w:t>Vooruitblik 2017</w:t>
      </w:r>
    </w:p>
    <w:p w14:paraId="61F51C1B" w14:textId="187A5906" w:rsidR="00026699" w:rsidRPr="0012038C" w:rsidRDefault="0012038C" w:rsidP="0012038C">
      <w:r w:rsidRPr="0012038C">
        <w:t>De resultaten over 2016 stellen het WEW in staat door te gaan op de ingeslagen weg en bij te dragen aan een structureel gezonde woningmarkt. Daarnaast gaat het WEW door met het creëren van oplossingen</w:t>
      </w:r>
      <w:r>
        <w:t xml:space="preserve"> </w:t>
      </w:r>
      <w:r w:rsidRPr="0012038C">
        <w:t xml:space="preserve">voor specifieke doelgroepen in de woningmarkt, zoals </w:t>
      </w:r>
      <w:proofErr w:type="spellStart"/>
      <w:r w:rsidRPr="0012038C">
        <w:t>zzp’ers</w:t>
      </w:r>
      <w:proofErr w:type="spellEnd"/>
      <w:r w:rsidRPr="0012038C">
        <w:t xml:space="preserve"> en flexwerkers, jonge starters en ouderen. Tot slot werkt het WEW samen met haar ketenpartners aan de verdere verbetering van het acceptatieproces, gericht op meer snelheid en klantgerichtheid, mede door digitalisering.</w:t>
      </w:r>
    </w:p>
    <w:sectPr w:rsidR="00026699" w:rsidRPr="0012038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76340" w14:textId="77777777" w:rsidR="00E110D5" w:rsidRDefault="00E110D5">
      <w:r>
        <w:separator/>
      </w:r>
    </w:p>
  </w:endnote>
  <w:endnote w:type="continuationSeparator" w:id="0">
    <w:p w14:paraId="6A19DD4C" w14:textId="77777777" w:rsidR="00E110D5" w:rsidRDefault="00E1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IWF P+ Scala Sans">
    <w:altName w:val="Scala Sans"/>
    <w:panose1 w:val="00000000000000000000"/>
    <w:charset w:val="00"/>
    <w:family w:val="swiss"/>
    <w:notTrueType/>
    <w:pitch w:val="default"/>
    <w:sig w:usb0="00000003" w:usb1="00000000" w:usb2="00000000" w:usb3="00000000" w:csb0="00000001" w:csb1="00000000"/>
  </w:font>
  <w:font w:name="ScalaSansPro-Regular">
    <w:panose1 w:val="00000000000000000000"/>
    <w:charset w:val="00"/>
    <w:family w:val="swiss"/>
    <w:notTrueType/>
    <w:pitch w:val="default"/>
    <w:sig w:usb0="00000003" w:usb1="00000000" w:usb2="00000000" w:usb3="00000000" w:csb0="00000001" w:csb1="00000000"/>
  </w:font>
  <w:font w:name="ScalaSans">
    <w:panose1 w:val="00000000000000000000"/>
    <w:charset w:val="00"/>
    <w:family w:val="auto"/>
    <w:notTrueType/>
    <w:pitch w:val="default"/>
    <w:sig w:usb0="00000003" w:usb1="00000000" w:usb2="00000000" w:usb3="00000000" w:csb0="00000001" w:csb1="00000000"/>
  </w:font>
  <w:font w:name="ScalaSans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270098"/>
      <w:docPartObj>
        <w:docPartGallery w:val="Page Numbers (Bottom of Page)"/>
        <w:docPartUnique/>
      </w:docPartObj>
    </w:sdtPr>
    <w:sdtEndPr/>
    <w:sdtContent>
      <w:p w14:paraId="5AB5DECB" w14:textId="77777777" w:rsidR="000D34B7" w:rsidRDefault="000D34B7">
        <w:pPr>
          <w:pStyle w:val="Voettekst"/>
        </w:pPr>
        <w:r>
          <w:rPr>
            <w:noProof/>
          </w:rPr>
          <mc:AlternateContent>
            <mc:Choice Requires="wps">
              <w:drawing>
                <wp:anchor distT="0" distB="0" distL="114300" distR="114300" simplePos="0" relativeHeight="251659264" behindDoc="0" locked="0" layoutInCell="1" allowOverlap="1" wp14:anchorId="30E65189" wp14:editId="0ED2C4CC">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6D47949" w14:textId="77777777" w:rsidR="000D34B7" w:rsidRDefault="000D34B7">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12038C" w:rsidRPr="0012038C">
                                <w:rPr>
                                  <w:noProof/>
                                  <w:color w:val="C0504D" w:themeColor="accent2"/>
                                </w:rPr>
                                <w:t>6</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0E65189" id="Rechthoek 649"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x2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sFCs&#10;dr8CAACtBQAADgAAAAAAAAAAAAAAAAAuAgAAZHJzL2Uyb0RvYy54bWxQSwECLQAUAAYACAAAACEA&#10;I+V68dsAAAADAQAADwAAAAAAAAAAAAAAAAAZBQAAZHJzL2Rvd25yZXYueG1sUEsFBgAAAAAEAAQA&#10;8wAAACEGAAAAAA==&#10;" filled="f" fillcolor="#c0504d" stroked="f" strokecolor="#5c83b4" strokeweight="2.25pt">
                  <v:textbox inset=",0,,0">
                    <w:txbxContent>
                      <w:p w14:paraId="46D47949" w14:textId="77777777" w:rsidR="000D34B7" w:rsidRDefault="000D34B7">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12038C" w:rsidRPr="0012038C">
                          <w:rPr>
                            <w:noProof/>
                            <w:color w:val="C0504D" w:themeColor="accent2"/>
                          </w:rPr>
                          <w:t>6</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B46E9" w14:textId="77777777" w:rsidR="00E110D5" w:rsidRDefault="00E110D5">
      <w:r>
        <w:separator/>
      </w:r>
    </w:p>
  </w:footnote>
  <w:footnote w:type="continuationSeparator" w:id="0">
    <w:p w14:paraId="1604F0FF" w14:textId="77777777" w:rsidR="00E110D5" w:rsidRDefault="00E11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5115"/>
    <w:multiLevelType w:val="hybridMultilevel"/>
    <w:tmpl w:val="9F5041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404AA2"/>
    <w:multiLevelType w:val="hybridMultilevel"/>
    <w:tmpl w:val="009CD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63705A"/>
    <w:multiLevelType w:val="hybridMultilevel"/>
    <w:tmpl w:val="1D5494FE"/>
    <w:lvl w:ilvl="0" w:tplc="4CE69D74">
      <w:start w:val="1"/>
      <w:numFmt w:val="bullet"/>
      <w:lvlText w:val=""/>
      <w:lvlJc w:val="left"/>
      <w:pPr>
        <w:tabs>
          <w:tab w:val="num" w:pos="720"/>
        </w:tabs>
        <w:ind w:left="720" w:hanging="360"/>
      </w:pPr>
      <w:rPr>
        <w:rFonts w:ascii="Wingdings" w:hAnsi="Wingdings" w:hint="default"/>
      </w:rPr>
    </w:lvl>
    <w:lvl w:ilvl="1" w:tplc="DAFA41C0" w:tentative="1">
      <w:start w:val="1"/>
      <w:numFmt w:val="bullet"/>
      <w:lvlText w:val=""/>
      <w:lvlJc w:val="left"/>
      <w:pPr>
        <w:tabs>
          <w:tab w:val="num" w:pos="1440"/>
        </w:tabs>
        <w:ind w:left="1440" w:hanging="360"/>
      </w:pPr>
      <w:rPr>
        <w:rFonts w:ascii="Wingdings" w:hAnsi="Wingdings" w:hint="default"/>
      </w:rPr>
    </w:lvl>
    <w:lvl w:ilvl="2" w:tplc="DE9A392E" w:tentative="1">
      <w:start w:val="1"/>
      <w:numFmt w:val="bullet"/>
      <w:lvlText w:val=""/>
      <w:lvlJc w:val="left"/>
      <w:pPr>
        <w:tabs>
          <w:tab w:val="num" w:pos="2160"/>
        </w:tabs>
        <w:ind w:left="2160" w:hanging="360"/>
      </w:pPr>
      <w:rPr>
        <w:rFonts w:ascii="Wingdings" w:hAnsi="Wingdings" w:hint="default"/>
      </w:rPr>
    </w:lvl>
    <w:lvl w:ilvl="3" w:tplc="F894F120" w:tentative="1">
      <w:start w:val="1"/>
      <w:numFmt w:val="bullet"/>
      <w:lvlText w:val=""/>
      <w:lvlJc w:val="left"/>
      <w:pPr>
        <w:tabs>
          <w:tab w:val="num" w:pos="2880"/>
        </w:tabs>
        <w:ind w:left="2880" w:hanging="360"/>
      </w:pPr>
      <w:rPr>
        <w:rFonts w:ascii="Wingdings" w:hAnsi="Wingdings" w:hint="default"/>
      </w:rPr>
    </w:lvl>
    <w:lvl w:ilvl="4" w:tplc="138EA0FE" w:tentative="1">
      <w:start w:val="1"/>
      <w:numFmt w:val="bullet"/>
      <w:lvlText w:val=""/>
      <w:lvlJc w:val="left"/>
      <w:pPr>
        <w:tabs>
          <w:tab w:val="num" w:pos="3600"/>
        </w:tabs>
        <w:ind w:left="3600" w:hanging="360"/>
      </w:pPr>
      <w:rPr>
        <w:rFonts w:ascii="Wingdings" w:hAnsi="Wingdings" w:hint="default"/>
      </w:rPr>
    </w:lvl>
    <w:lvl w:ilvl="5" w:tplc="97063578" w:tentative="1">
      <w:start w:val="1"/>
      <w:numFmt w:val="bullet"/>
      <w:lvlText w:val=""/>
      <w:lvlJc w:val="left"/>
      <w:pPr>
        <w:tabs>
          <w:tab w:val="num" w:pos="4320"/>
        </w:tabs>
        <w:ind w:left="4320" w:hanging="360"/>
      </w:pPr>
      <w:rPr>
        <w:rFonts w:ascii="Wingdings" w:hAnsi="Wingdings" w:hint="default"/>
      </w:rPr>
    </w:lvl>
    <w:lvl w:ilvl="6" w:tplc="8AF0A71A" w:tentative="1">
      <w:start w:val="1"/>
      <w:numFmt w:val="bullet"/>
      <w:lvlText w:val=""/>
      <w:lvlJc w:val="left"/>
      <w:pPr>
        <w:tabs>
          <w:tab w:val="num" w:pos="5040"/>
        </w:tabs>
        <w:ind w:left="5040" w:hanging="360"/>
      </w:pPr>
      <w:rPr>
        <w:rFonts w:ascii="Wingdings" w:hAnsi="Wingdings" w:hint="default"/>
      </w:rPr>
    </w:lvl>
    <w:lvl w:ilvl="7" w:tplc="398AC664" w:tentative="1">
      <w:start w:val="1"/>
      <w:numFmt w:val="bullet"/>
      <w:lvlText w:val=""/>
      <w:lvlJc w:val="left"/>
      <w:pPr>
        <w:tabs>
          <w:tab w:val="num" w:pos="5760"/>
        </w:tabs>
        <w:ind w:left="5760" w:hanging="360"/>
      </w:pPr>
      <w:rPr>
        <w:rFonts w:ascii="Wingdings" w:hAnsi="Wingdings" w:hint="default"/>
      </w:rPr>
    </w:lvl>
    <w:lvl w:ilvl="8" w:tplc="70BEAFE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427DB"/>
    <w:multiLevelType w:val="hybridMultilevel"/>
    <w:tmpl w:val="635C45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842DCA"/>
    <w:multiLevelType w:val="hybridMultilevel"/>
    <w:tmpl w:val="C3B0C0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8126E1"/>
    <w:multiLevelType w:val="hybridMultilevel"/>
    <w:tmpl w:val="63309E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3A7B2D"/>
    <w:multiLevelType w:val="hybridMultilevel"/>
    <w:tmpl w:val="7E8AED2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3150F8F"/>
    <w:multiLevelType w:val="hybridMultilevel"/>
    <w:tmpl w:val="159C6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501FA5"/>
    <w:multiLevelType w:val="hybridMultilevel"/>
    <w:tmpl w:val="4B64A784"/>
    <w:lvl w:ilvl="0" w:tplc="DEB2D71E">
      <w:numFmt w:val="bullet"/>
      <w:lvlText w:val=""/>
      <w:lvlJc w:val="left"/>
      <w:pPr>
        <w:ind w:left="720" w:hanging="360"/>
      </w:pPr>
      <w:rPr>
        <w:rFonts w:ascii="Symbol" w:eastAsia="Times New Roman" w:hAnsi="Symbol" w:cs="Arial" w:hint="default"/>
        <w:b/>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35791E"/>
    <w:multiLevelType w:val="hybridMultilevel"/>
    <w:tmpl w:val="AD2261BE"/>
    <w:lvl w:ilvl="0" w:tplc="3174AA74">
      <w:start w:val="1"/>
      <w:numFmt w:val="bullet"/>
      <w:lvlText w:val="•"/>
      <w:lvlJc w:val="left"/>
      <w:pPr>
        <w:tabs>
          <w:tab w:val="num" w:pos="720"/>
        </w:tabs>
        <w:ind w:left="720" w:hanging="360"/>
      </w:pPr>
      <w:rPr>
        <w:rFonts w:ascii="Times New Roman" w:hAnsi="Times New Roman" w:hint="default"/>
      </w:rPr>
    </w:lvl>
    <w:lvl w:ilvl="1" w:tplc="8FD2F316" w:tentative="1">
      <w:start w:val="1"/>
      <w:numFmt w:val="bullet"/>
      <w:lvlText w:val="•"/>
      <w:lvlJc w:val="left"/>
      <w:pPr>
        <w:tabs>
          <w:tab w:val="num" w:pos="1440"/>
        </w:tabs>
        <w:ind w:left="1440" w:hanging="360"/>
      </w:pPr>
      <w:rPr>
        <w:rFonts w:ascii="Times New Roman" w:hAnsi="Times New Roman" w:hint="default"/>
      </w:rPr>
    </w:lvl>
    <w:lvl w:ilvl="2" w:tplc="51326006">
      <w:start w:val="1"/>
      <w:numFmt w:val="bullet"/>
      <w:lvlText w:val="•"/>
      <w:lvlJc w:val="left"/>
      <w:pPr>
        <w:tabs>
          <w:tab w:val="num" w:pos="2160"/>
        </w:tabs>
        <w:ind w:left="2160" w:hanging="360"/>
      </w:pPr>
      <w:rPr>
        <w:rFonts w:ascii="Times New Roman" w:hAnsi="Times New Roman" w:hint="default"/>
      </w:rPr>
    </w:lvl>
    <w:lvl w:ilvl="3" w:tplc="5D10C5FA" w:tentative="1">
      <w:start w:val="1"/>
      <w:numFmt w:val="bullet"/>
      <w:lvlText w:val="•"/>
      <w:lvlJc w:val="left"/>
      <w:pPr>
        <w:tabs>
          <w:tab w:val="num" w:pos="2880"/>
        </w:tabs>
        <w:ind w:left="2880" w:hanging="360"/>
      </w:pPr>
      <w:rPr>
        <w:rFonts w:ascii="Times New Roman" w:hAnsi="Times New Roman" w:hint="default"/>
      </w:rPr>
    </w:lvl>
    <w:lvl w:ilvl="4" w:tplc="98022020" w:tentative="1">
      <w:start w:val="1"/>
      <w:numFmt w:val="bullet"/>
      <w:lvlText w:val="•"/>
      <w:lvlJc w:val="left"/>
      <w:pPr>
        <w:tabs>
          <w:tab w:val="num" w:pos="3600"/>
        </w:tabs>
        <w:ind w:left="3600" w:hanging="360"/>
      </w:pPr>
      <w:rPr>
        <w:rFonts w:ascii="Times New Roman" w:hAnsi="Times New Roman" w:hint="default"/>
      </w:rPr>
    </w:lvl>
    <w:lvl w:ilvl="5" w:tplc="EEFAB25A" w:tentative="1">
      <w:start w:val="1"/>
      <w:numFmt w:val="bullet"/>
      <w:lvlText w:val="•"/>
      <w:lvlJc w:val="left"/>
      <w:pPr>
        <w:tabs>
          <w:tab w:val="num" w:pos="4320"/>
        </w:tabs>
        <w:ind w:left="4320" w:hanging="360"/>
      </w:pPr>
      <w:rPr>
        <w:rFonts w:ascii="Times New Roman" w:hAnsi="Times New Roman" w:hint="default"/>
      </w:rPr>
    </w:lvl>
    <w:lvl w:ilvl="6" w:tplc="D90AEC2C" w:tentative="1">
      <w:start w:val="1"/>
      <w:numFmt w:val="bullet"/>
      <w:lvlText w:val="•"/>
      <w:lvlJc w:val="left"/>
      <w:pPr>
        <w:tabs>
          <w:tab w:val="num" w:pos="5040"/>
        </w:tabs>
        <w:ind w:left="5040" w:hanging="360"/>
      </w:pPr>
      <w:rPr>
        <w:rFonts w:ascii="Times New Roman" w:hAnsi="Times New Roman" w:hint="default"/>
      </w:rPr>
    </w:lvl>
    <w:lvl w:ilvl="7" w:tplc="F6D0406C" w:tentative="1">
      <w:start w:val="1"/>
      <w:numFmt w:val="bullet"/>
      <w:lvlText w:val="•"/>
      <w:lvlJc w:val="left"/>
      <w:pPr>
        <w:tabs>
          <w:tab w:val="num" w:pos="5760"/>
        </w:tabs>
        <w:ind w:left="5760" w:hanging="360"/>
      </w:pPr>
      <w:rPr>
        <w:rFonts w:ascii="Times New Roman" w:hAnsi="Times New Roman" w:hint="default"/>
      </w:rPr>
    </w:lvl>
    <w:lvl w:ilvl="8" w:tplc="BB923E7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502485"/>
    <w:multiLevelType w:val="hybridMultilevel"/>
    <w:tmpl w:val="DDE4F5AA"/>
    <w:lvl w:ilvl="0" w:tplc="F8BA9BE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56657B"/>
    <w:multiLevelType w:val="hybridMultilevel"/>
    <w:tmpl w:val="CA384B60"/>
    <w:lvl w:ilvl="0" w:tplc="2D84A08A">
      <w:start w:val="1"/>
      <w:numFmt w:val="bullet"/>
      <w:lvlText w:val="•"/>
      <w:lvlJc w:val="left"/>
      <w:pPr>
        <w:tabs>
          <w:tab w:val="num" w:pos="720"/>
        </w:tabs>
        <w:ind w:left="720" w:hanging="360"/>
      </w:pPr>
      <w:rPr>
        <w:rFonts w:ascii="Times New Roman" w:hAnsi="Times New Roman" w:hint="default"/>
      </w:rPr>
    </w:lvl>
    <w:lvl w:ilvl="1" w:tplc="37063E48" w:tentative="1">
      <w:start w:val="1"/>
      <w:numFmt w:val="bullet"/>
      <w:lvlText w:val="•"/>
      <w:lvlJc w:val="left"/>
      <w:pPr>
        <w:tabs>
          <w:tab w:val="num" w:pos="1440"/>
        </w:tabs>
        <w:ind w:left="1440" w:hanging="360"/>
      </w:pPr>
      <w:rPr>
        <w:rFonts w:ascii="Times New Roman" w:hAnsi="Times New Roman" w:hint="default"/>
      </w:rPr>
    </w:lvl>
    <w:lvl w:ilvl="2" w:tplc="A6162E50">
      <w:start w:val="1"/>
      <w:numFmt w:val="bullet"/>
      <w:lvlText w:val="•"/>
      <w:lvlJc w:val="left"/>
      <w:pPr>
        <w:tabs>
          <w:tab w:val="num" w:pos="2160"/>
        </w:tabs>
        <w:ind w:left="2160" w:hanging="360"/>
      </w:pPr>
      <w:rPr>
        <w:rFonts w:ascii="Times New Roman" w:hAnsi="Times New Roman" w:hint="default"/>
      </w:rPr>
    </w:lvl>
    <w:lvl w:ilvl="3" w:tplc="2F3C82F8" w:tentative="1">
      <w:start w:val="1"/>
      <w:numFmt w:val="bullet"/>
      <w:lvlText w:val="•"/>
      <w:lvlJc w:val="left"/>
      <w:pPr>
        <w:tabs>
          <w:tab w:val="num" w:pos="2880"/>
        </w:tabs>
        <w:ind w:left="2880" w:hanging="360"/>
      </w:pPr>
      <w:rPr>
        <w:rFonts w:ascii="Times New Roman" w:hAnsi="Times New Roman" w:hint="default"/>
      </w:rPr>
    </w:lvl>
    <w:lvl w:ilvl="4" w:tplc="CEB465AA" w:tentative="1">
      <w:start w:val="1"/>
      <w:numFmt w:val="bullet"/>
      <w:lvlText w:val="•"/>
      <w:lvlJc w:val="left"/>
      <w:pPr>
        <w:tabs>
          <w:tab w:val="num" w:pos="3600"/>
        </w:tabs>
        <w:ind w:left="3600" w:hanging="360"/>
      </w:pPr>
      <w:rPr>
        <w:rFonts w:ascii="Times New Roman" w:hAnsi="Times New Roman" w:hint="default"/>
      </w:rPr>
    </w:lvl>
    <w:lvl w:ilvl="5" w:tplc="937A4326" w:tentative="1">
      <w:start w:val="1"/>
      <w:numFmt w:val="bullet"/>
      <w:lvlText w:val="•"/>
      <w:lvlJc w:val="left"/>
      <w:pPr>
        <w:tabs>
          <w:tab w:val="num" w:pos="4320"/>
        </w:tabs>
        <w:ind w:left="4320" w:hanging="360"/>
      </w:pPr>
      <w:rPr>
        <w:rFonts w:ascii="Times New Roman" w:hAnsi="Times New Roman" w:hint="default"/>
      </w:rPr>
    </w:lvl>
    <w:lvl w:ilvl="6" w:tplc="97900D2E" w:tentative="1">
      <w:start w:val="1"/>
      <w:numFmt w:val="bullet"/>
      <w:lvlText w:val="•"/>
      <w:lvlJc w:val="left"/>
      <w:pPr>
        <w:tabs>
          <w:tab w:val="num" w:pos="5040"/>
        </w:tabs>
        <w:ind w:left="5040" w:hanging="360"/>
      </w:pPr>
      <w:rPr>
        <w:rFonts w:ascii="Times New Roman" w:hAnsi="Times New Roman" w:hint="default"/>
      </w:rPr>
    </w:lvl>
    <w:lvl w:ilvl="7" w:tplc="11DA4B78" w:tentative="1">
      <w:start w:val="1"/>
      <w:numFmt w:val="bullet"/>
      <w:lvlText w:val="•"/>
      <w:lvlJc w:val="left"/>
      <w:pPr>
        <w:tabs>
          <w:tab w:val="num" w:pos="5760"/>
        </w:tabs>
        <w:ind w:left="5760" w:hanging="360"/>
      </w:pPr>
      <w:rPr>
        <w:rFonts w:ascii="Times New Roman" w:hAnsi="Times New Roman" w:hint="default"/>
      </w:rPr>
    </w:lvl>
    <w:lvl w:ilvl="8" w:tplc="BC18842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D621315"/>
    <w:multiLevelType w:val="hybridMultilevel"/>
    <w:tmpl w:val="5FBC0284"/>
    <w:lvl w:ilvl="0" w:tplc="AEEE698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BD2ED4"/>
    <w:multiLevelType w:val="hybridMultilevel"/>
    <w:tmpl w:val="4AC4AF5E"/>
    <w:lvl w:ilvl="0" w:tplc="16CCD912">
      <w:start w:val="1"/>
      <w:numFmt w:val="bullet"/>
      <w:lvlText w:val="•"/>
      <w:lvlJc w:val="left"/>
      <w:pPr>
        <w:tabs>
          <w:tab w:val="num" w:pos="720"/>
        </w:tabs>
        <w:ind w:left="720" w:hanging="360"/>
      </w:pPr>
      <w:rPr>
        <w:rFonts w:ascii="Times New Roman" w:hAnsi="Times New Roman" w:hint="default"/>
      </w:rPr>
    </w:lvl>
    <w:lvl w:ilvl="1" w:tplc="12F0DEE4" w:tentative="1">
      <w:start w:val="1"/>
      <w:numFmt w:val="bullet"/>
      <w:lvlText w:val="•"/>
      <w:lvlJc w:val="left"/>
      <w:pPr>
        <w:tabs>
          <w:tab w:val="num" w:pos="1440"/>
        </w:tabs>
        <w:ind w:left="1440" w:hanging="360"/>
      </w:pPr>
      <w:rPr>
        <w:rFonts w:ascii="Times New Roman" w:hAnsi="Times New Roman" w:hint="default"/>
      </w:rPr>
    </w:lvl>
    <w:lvl w:ilvl="2" w:tplc="916C7FD0">
      <w:start w:val="1"/>
      <w:numFmt w:val="bullet"/>
      <w:lvlText w:val="•"/>
      <w:lvlJc w:val="left"/>
      <w:pPr>
        <w:tabs>
          <w:tab w:val="num" w:pos="2160"/>
        </w:tabs>
        <w:ind w:left="2160" w:hanging="360"/>
      </w:pPr>
      <w:rPr>
        <w:rFonts w:ascii="Times New Roman" w:hAnsi="Times New Roman" w:hint="default"/>
      </w:rPr>
    </w:lvl>
    <w:lvl w:ilvl="3" w:tplc="D5AE03EA" w:tentative="1">
      <w:start w:val="1"/>
      <w:numFmt w:val="bullet"/>
      <w:lvlText w:val="•"/>
      <w:lvlJc w:val="left"/>
      <w:pPr>
        <w:tabs>
          <w:tab w:val="num" w:pos="2880"/>
        </w:tabs>
        <w:ind w:left="2880" w:hanging="360"/>
      </w:pPr>
      <w:rPr>
        <w:rFonts w:ascii="Times New Roman" w:hAnsi="Times New Roman" w:hint="default"/>
      </w:rPr>
    </w:lvl>
    <w:lvl w:ilvl="4" w:tplc="7CDA3892" w:tentative="1">
      <w:start w:val="1"/>
      <w:numFmt w:val="bullet"/>
      <w:lvlText w:val="•"/>
      <w:lvlJc w:val="left"/>
      <w:pPr>
        <w:tabs>
          <w:tab w:val="num" w:pos="3600"/>
        </w:tabs>
        <w:ind w:left="3600" w:hanging="360"/>
      </w:pPr>
      <w:rPr>
        <w:rFonts w:ascii="Times New Roman" w:hAnsi="Times New Roman" w:hint="default"/>
      </w:rPr>
    </w:lvl>
    <w:lvl w:ilvl="5" w:tplc="C5AAAD84" w:tentative="1">
      <w:start w:val="1"/>
      <w:numFmt w:val="bullet"/>
      <w:lvlText w:val="•"/>
      <w:lvlJc w:val="left"/>
      <w:pPr>
        <w:tabs>
          <w:tab w:val="num" w:pos="4320"/>
        </w:tabs>
        <w:ind w:left="4320" w:hanging="360"/>
      </w:pPr>
      <w:rPr>
        <w:rFonts w:ascii="Times New Roman" w:hAnsi="Times New Roman" w:hint="default"/>
      </w:rPr>
    </w:lvl>
    <w:lvl w:ilvl="6" w:tplc="2EEC960A" w:tentative="1">
      <w:start w:val="1"/>
      <w:numFmt w:val="bullet"/>
      <w:lvlText w:val="•"/>
      <w:lvlJc w:val="left"/>
      <w:pPr>
        <w:tabs>
          <w:tab w:val="num" w:pos="5040"/>
        </w:tabs>
        <w:ind w:left="5040" w:hanging="360"/>
      </w:pPr>
      <w:rPr>
        <w:rFonts w:ascii="Times New Roman" w:hAnsi="Times New Roman" w:hint="default"/>
      </w:rPr>
    </w:lvl>
    <w:lvl w:ilvl="7" w:tplc="6D98F298" w:tentative="1">
      <w:start w:val="1"/>
      <w:numFmt w:val="bullet"/>
      <w:lvlText w:val="•"/>
      <w:lvlJc w:val="left"/>
      <w:pPr>
        <w:tabs>
          <w:tab w:val="num" w:pos="5760"/>
        </w:tabs>
        <w:ind w:left="5760" w:hanging="360"/>
      </w:pPr>
      <w:rPr>
        <w:rFonts w:ascii="Times New Roman" w:hAnsi="Times New Roman" w:hint="default"/>
      </w:rPr>
    </w:lvl>
    <w:lvl w:ilvl="8" w:tplc="69068B4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C94146C"/>
    <w:multiLevelType w:val="hybridMultilevel"/>
    <w:tmpl w:val="64AED0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A17445"/>
    <w:multiLevelType w:val="hybridMultilevel"/>
    <w:tmpl w:val="BC22EB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6531C0"/>
    <w:multiLevelType w:val="hybridMultilevel"/>
    <w:tmpl w:val="4DE823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0B1FC3"/>
    <w:multiLevelType w:val="hybridMultilevel"/>
    <w:tmpl w:val="4288BA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A064E1"/>
    <w:multiLevelType w:val="hybridMultilevel"/>
    <w:tmpl w:val="B310D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2801D11"/>
    <w:multiLevelType w:val="hybridMultilevel"/>
    <w:tmpl w:val="77D472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4444DA4"/>
    <w:multiLevelType w:val="hybridMultilevel"/>
    <w:tmpl w:val="19541BCC"/>
    <w:lvl w:ilvl="0" w:tplc="0413000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C0A00BB"/>
    <w:multiLevelType w:val="hybridMultilevel"/>
    <w:tmpl w:val="52086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DF80993"/>
    <w:multiLevelType w:val="hybridMultilevel"/>
    <w:tmpl w:val="07EC38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0DC7EC8"/>
    <w:multiLevelType w:val="hybridMultilevel"/>
    <w:tmpl w:val="1EF629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2AC79A5"/>
    <w:multiLevelType w:val="hybridMultilevel"/>
    <w:tmpl w:val="119028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0"/>
  </w:num>
  <w:num w:numId="4">
    <w:abstractNumId w:val="6"/>
  </w:num>
  <w:num w:numId="5">
    <w:abstractNumId w:val="5"/>
  </w:num>
  <w:num w:numId="6">
    <w:abstractNumId w:val="23"/>
  </w:num>
  <w:num w:numId="7">
    <w:abstractNumId w:val="12"/>
  </w:num>
  <w:num w:numId="8">
    <w:abstractNumId w:val="10"/>
  </w:num>
  <w:num w:numId="9">
    <w:abstractNumId w:val="16"/>
  </w:num>
  <w:num w:numId="10">
    <w:abstractNumId w:val="3"/>
  </w:num>
  <w:num w:numId="11">
    <w:abstractNumId w:val="19"/>
  </w:num>
  <w:num w:numId="12">
    <w:abstractNumId w:val="17"/>
  </w:num>
  <w:num w:numId="13">
    <w:abstractNumId w:val="0"/>
  </w:num>
  <w:num w:numId="14">
    <w:abstractNumId w:val="2"/>
  </w:num>
  <w:num w:numId="15">
    <w:abstractNumId w:val="9"/>
  </w:num>
  <w:num w:numId="16">
    <w:abstractNumId w:val="13"/>
  </w:num>
  <w:num w:numId="17">
    <w:abstractNumId w:val="11"/>
  </w:num>
  <w:num w:numId="18">
    <w:abstractNumId w:val="7"/>
  </w:num>
  <w:num w:numId="19">
    <w:abstractNumId w:val="15"/>
  </w:num>
  <w:num w:numId="20">
    <w:abstractNumId w:val="1"/>
  </w:num>
  <w:num w:numId="21">
    <w:abstractNumId w:val="4"/>
  </w:num>
  <w:num w:numId="22">
    <w:abstractNumId w:val="21"/>
  </w:num>
  <w:num w:numId="23">
    <w:abstractNumId w:val="14"/>
  </w:num>
  <w:num w:numId="24">
    <w:abstractNumId w:val="2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5C3"/>
    <w:rsid w:val="00006226"/>
    <w:rsid w:val="0002414A"/>
    <w:rsid w:val="00026699"/>
    <w:rsid w:val="00026D8E"/>
    <w:rsid w:val="000440D0"/>
    <w:rsid w:val="000502A7"/>
    <w:rsid w:val="00054447"/>
    <w:rsid w:val="000564DD"/>
    <w:rsid w:val="0006265A"/>
    <w:rsid w:val="00071474"/>
    <w:rsid w:val="00073CE3"/>
    <w:rsid w:val="0007620E"/>
    <w:rsid w:val="00086D78"/>
    <w:rsid w:val="000965E8"/>
    <w:rsid w:val="000B154D"/>
    <w:rsid w:val="000B57CD"/>
    <w:rsid w:val="000B7437"/>
    <w:rsid w:val="000C6556"/>
    <w:rsid w:val="000D0AD2"/>
    <w:rsid w:val="000D34B7"/>
    <w:rsid w:val="000D391B"/>
    <w:rsid w:val="000D4F3D"/>
    <w:rsid w:val="000D78B2"/>
    <w:rsid w:val="000E1A62"/>
    <w:rsid w:val="000F19F9"/>
    <w:rsid w:val="000F2469"/>
    <w:rsid w:val="000F39F2"/>
    <w:rsid w:val="000F72C8"/>
    <w:rsid w:val="000F792E"/>
    <w:rsid w:val="00101D84"/>
    <w:rsid w:val="00104E61"/>
    <w:rsid w:val="00105723"/>
    <w:rsid w:val="0011245D"/>
    <w:rsid w:val="00114FBB"/>
    <w:rsid w:val="0012038C"/>
    <w:rsid w:val="00123AE1"/>
    <w:rsid w:val="00124125"/>
    <w:rsid w:val="0012470B"/>
    <w:rsid w:val="00124AB5"/>
    <w:rsid w:val="001270C7"/>
    <w:rsid w:val="00130F70"/>
    <w:rsid w:val="001340B7"/>
    <w:rsid w:val="00140099"/>
    <w:rsid w:val="00141660"/>
    <w:rsid w:val="00143F0F"/>
    <w:rsid w:val="00144F81"/>
    <w:rsid w:val="00147503"/>
    <w:rsid w:val="00147E17"/>
    <w:rsid w:val="00151710"/>
    <w:rsid w:val="00156073"/>
    <w:rsid w:val="00160B21"/>
    <w:rsid w:val="00161DDF"/>
    <w:rsid w:val="00164EF1"/>
    <w:rsid w:val="0016677B"/>
    <w:rsid w:val="00180E45"/>
    <w:rsid w:val="00185724"/>
    <w:rsid w:val="00187574"/>
    <w:rsid w:val="00187F24"/>
    <w:rsid w:val="00187F5D"/>
    <w:rsid w:val="001A610B"/>
    <w:rsid w:val="001A791A"/>
    <w:rsid w:val="001B0CC8"/>
    <w:rsid w:val="001B7F4C"/>
    <w:rsid w:val="001C1137"/>
    <w:rsid w:val="001C444B"/>
    <w:rsid w:val="001D046C"/>
    <w:rsid w:val="001D06F4"/>
    <w:rsid w:val="001D1D3D"/>
    <w:rsid w:val="001E5136"/>
    <w:rsid w:val="001E61EA"/>
    <w:rsid w:val="001E6B5D"/>
    <w:rsid w:val="001F23FA"/>
    <w:rsid w:val="001F60CE"/>
    <w:rsid w:val="001F639F"/>
    <w:rsid w:val="002055B4"/>
    <w:rsid w:val="00213241"/>
    <w:rsid w:val="00222186"/>
    <w:rsid w:val="00233B4A"/>
    <w:rsid w:val="0024230C"/>
    <w:rsid w:val="002516D7"/>
    <w:rsid w:val="002517B8"/>
    <w:rsid w:val="002534FB"/>
    <w:rsid w:val="00253686"/>
    <w:rsid w:val="002706C6"/>
    <w:rsid w:val="00274D92"/>
    <w:rsid w:val="002751FB"/>
    <w:rsid w:val="0028231C"/>
    <w:rsid w:val="00292527"/>
    <w:rsid w:val="00292E3E"/>
    <w:rsid w:val="002A157D"/>
    <w:rsid w:val="002A3A2C"/>
    <w:rsid w:val="002A5A9B"/>
    <w:rsid w:val="002A6798"/>
    <w:rsid w:val="002B2AF6"/>
    <w:rsid w:val="002B33C5"/>
    <w:rsid w:val="002B66F2"/>
    <w:rsid w:val="002C3B8D"/>
    <w:rsid w:val="002C7267"/>
    <w:rsid w:val="002D4094"/>
    <w:rsid w:val="002E11E7"/>
    <w:rsid w:val="002F3720"/>
    <w:rsid w:val="002F6416"/>
    <w:rsid w:val="0030065B"/>
    <w:rsid w:val="00310F86"/>
    <w:rsid w:val="00316445"/>
    <w:rsid w:val="0033280D"/>
    <w:rsid w:val="003330C6"/>
    <w:rsid w:val="00344327"/>
    <w:rsid w:val="00344585"/>
    <w:rsid w:val="003522E5"/>
    <w:rsid w:val="00353CDB"/>
    <w:rsid w:val="003615D7"/>
    <w:rsid w:val="003730F8"/>
    <w:rsid w:val="00377585"/>
    <w:rsid w:val="003810C7"/>
    <w:rsid w:val="00386A81"/>
    <w:rsid w:val="00392F0E"/>
    <w:rsid w:val="00394465"/>
    <w:rsid w:val="003A0A1C"/>
    <w:rsid w:val="003A1F33"/>
    <w:rsid w:val="003A51FE"/>
    <w:rsid w:val="003A5B23"/>
    <w:rsid w:val="003A66E3"/>
    <w:rsid w:val="003A67B6"/>
    <w:rsid w:val="003B141A"/>
    <w:rsid w:val="003C10D8"/>
    <w:rsid w:val="003C1B9A"/>
    <w:rsid w:val="003C3C7E"/>
    <w:rsid w:val="003C4FD5"/>
    <w:rsid w:val="003C7E0F"/>
    <w:rsid w:val="003E7DC4"/>
    <w:rsid w:val="003E7F95"/>
    <w:rsid w:val="003F28E8"/>
    <w:rsid w:val="00401EBE"/>
    <w:rsid w:val="004026F7"/>
    <w:rsid w:val="004143CF"/>
    <w:rsid w:val="004418C2"/>
    <w:rsid w:val="00444FAB"/>
    <w:rsid w:val="004471C5"/>
    <w:rsid w:val="00452000"/>
    <w:rsid w:val="0046127F"/>
    <w:rsid w:val="00462436"/>
    <w:rsid w:val="00462EA0"/>
    <w:rsid w:val="00464457"/>
    <w:rsid w:val="004648DB"/>
    <w:rsid w:val="00465467"/>
    <w:rsid w:val="00465A67"/>
    <w:rsid w:val="00466FDC"/>
    <w:rsid w:val="00475ABA"/>
    <w:rsid w:val="004766F2"/>
    <w:rsid w:val="004769B6"/>
    <w:rsid w:val="00481B4F"/>
    <w:rsid w:val="004856D9"/>
    <w:rsid w:val="00486558"/>
    <w:rsid w:val="0049379C"/>
    <w:rsid w:val="00494F48"/>
    <w:rsid w:val="004959CD"/>
    <w:rsid w:val="004A255B"/>
    <w:rsid w:val="004A33FB"/>
    <w:rsid w:val="004A5EA4"/>
    <w:rsid w:val="004B3317"/>
    <w:rsid w:val="004C0F78"/>
    <w:rsid w:val="004C2EEF"/>
    <w:rsid w:val="004C3B58"/>
    <w:rsid w:val="004C6ED3"/>
    <w:rsid w:val="004D5356"/>
    <w:rsid w:val="004D5E81"/>
    <w:rsid w:val="004E351D"/>
    <w:rsid w:val="004E3A2E"/>
    <w:rsid w:val="004E6777"/>
    <w:rsid w:val="004F36A4"/>
    <w:rsid w:val="004F51D6"/>
    <w:rsid w:val="0050041E"/>
    <w:rsid w:val="00503E78"/>
    <w:rsid w:val="005065DC"/>
    <w:rsid w:val="00510609"/>
    <w:rsid w:val="00525526"/>
    <w:rsid w:val="00537542"/>
    <w:rsid w:val="00567517"/>
    <w:rsid w:val="00567C53"/>
    <w:rsid w:val="00570E6C"/>
    <w:rsid w:val="00572116"/>
    <w:rsid w:val="005721E1"/>
    <w:rsid w:val="00572314"/>
    <w:rsid w:val="00575AE9"/>
    <w:rsid w:val="00577615"/>
    <w:rsid w:val="0058384E"/>
    <w:rsid w:val="0058532B"/>
    <w:rsid w:val="0059166C"/>
    <w:rsid w:val="005929A4"/>
    <w:rsid w:val="0059302E"/>
    <w:rsid w:val="0059351A"/>
    <w:rsid w:val="00596DC1"/>
    <w:rsid w:val="005A458C"/>
    <w:rsid w:val="005A5C77"/>
    <w:rsid w:val="005B07B3"/>
    <w:rsid w:val="005B2205"/>
    <w:rsid w:val="005B269D"/>
    <w:rsid w:val="005B526A"/>
    <w:rsid w:val="005B6938"/>
    <w:rsid w:val="005C71A0"/>
    <w:rsid w:val="005D0174"/>
    <w:rsid w:val="005D48A0"/>
    <w:rsid w:val="005D64B0"/>
    <w:rsid w:val="005F284F"/>
    <w:rsid w:val="005F734C"/>
    <w:rsid w:val="0060133A"/>
    <w:rsid w:val="0060225E"/>
    <w:rsid w:val="00602430"/>
    <w:rsid w:val="00606790"/>
    <w:rsid w:val="0061603F"/>
    <w:rsid w:val="00620A86"/>
    <w:rsid w:val="0062173E"/>
    <w:rsid w:val="0062238D"/>
    <w:rsid w:val="006242C5"/>
    <w:rsid w:val="00636B9B"/>
    <w:rsid w:val="006434BD"/>
    <w:rsid w:val="00644FAF"/>
    <w:rsid w:val="0065628A"/>
    <w:rsid w:val="00666491"/>
    <w:rsid w:val="00670D56"/>
    <w:rsid w:val="006848CB"/>
    <w:rsid w:val="00685B7C"/>
    <w:rsid w:val="00690846"/>
    <w:rsid w:val="0069277A"/>
    <w:rsid w:val="006970C8"/>
    <w:rsid w:val="006A18F3"/>
    <w:rsid w:val="006A501A"/>
    <w:rsid w:val="006A63EE"/>
    <w:rsid w:val="006B52B0"/>
    <w:rsid w:val="006C547C"/>
    <w:rsid w:val="006D182D"/>
    <w:rsid w:val="006D2AE1"/>
    <w:rsid w:val="006D42A9"/>
    <w:rsid w:val="006E2A6F"/>
    <w:rsid w:val="006E6B51"/>
    <w:rsid w:val="0072390D"/>
    <w:rsid w:val="00725E03"/>
    <w:rsid w:val="007434F8"/>
    <w:rsid w:val="007452AC"/>
    <w:rsid w:val="00746949"/>
    <w:rsid w:val="007508F6"/>
    <w:rsid w:val="007535B9"/>
    <w:rsid w:val="007537A5"/>
    <w:rsid w:val="00754A3D"/>
    <w:rsid w:val="00755BCA"/>
    <w:rsid w:val="007723BB"/>
    <w:rsid w:val="007733AB"/>
    <w:rsid w:val="007738D5"/>
    <w:rsid w:val="00781684"/>
    <w:rsid w:val="007838AC"/>
    <w:rsid w:val="00790814"/>
    <w:rsid w:val="00790D7A"/>
    <w:rsid w:val="007915DA"/>
    <w:rsid w:val="00793EA4"/>
    <w:rsid w:val="00795B3C"/>
    <w:rsid w:val="0079731F"/>
    <w:rsid w:val="00797F39"/>
    <w:rsid w:val="007A0E4C"/>
    <w:rsid w:val="007A44A8"/>
    <w:rsid w:val="007A5F07"/>
    <w:rsid w:val="007A64DA"/>
    <w:rsid w:val="007B225D"/>
    <w:rsid w:val="007C2AAE"/>
    <w:rsid w:val="007C4C3E"/>
    <w:rsid w:val="007C5612"/>
    <w:rsid w:val="007D3F1A"/>
    <w:rsid w:val="007D61B1"/>
    <w:rsid w:val="007E10EE"/>
    <w:rsid w:val="007E12F3"/>
    <w:rsid w:val="007E20F0"/>
    <w:rsid w:val="007E23A4"/>
    <w:rsid w:val="007F4742"/>
    <w:rsid w:val="00803A6E"/>
    <w:rsid w:val="00806E0A"/>
    <w:rsid w:val="00814851"/>
    <w:rsid w:val="00822A92"/>
    <w:rsid w:val="00826E00"/>
    <w:rsid w:val="00826ECD"/>
    <w:rsid w:val="00827B89"/>
    <w:rsid w:val="00831037"/>
    <w:rsid w:val="00832D61"/>
    <w:rsid w:val="00835AEB"/>
    <w:rsid w:val="00835D18"/>
    <w:rsid w:val="008361FA"/>
    <w:rsid w:val="00837628"/>
    <w:rsid w:val="00840C28"/>
    <w:rsid w:val="00845863"/>
    <w:rsid w:val="0084743A"/>
    <w:rsid w:val="008643B7"/>
    <w:rsid w:val="00867F2A"/>
    <w:rsid w:val="008713F1"/>
    <w:rsid w:val="00896475"/>
    <w:rsid w:val="008A0281"/>
    <w:rsid w:val="008A4F4B"/>
    <w:rsid w:val="008B50BB"/>
    <w:rsid w:val="008D0CB7"/>
    <w:rsid w:val="008D1862"/>
    <w:rsid w:val="008D4AD5"/>
    <w:rsid w:val="008E0B0C"/>
    <w:rsid w:val="008E6430"/>
    <w:rsid w:val="009037F4"/>
    <w:rsid w:val="00914324"/>
    <w:rsid w:val="009272BA"/>
    <w:rsid w:val="009272EE"/>
    <w:rsid w:val="00933642"/>
    <w:rsid w:val="009358B9"/>
    <w:rsid w:val="0094091A"/>
    <w:rsid w:val="0094404A"/>
    <w:rsid w:val="0094434C"/>
    <w:rsid w:val="00950D4E"/>
    <w:rsid w:val="009524EF"/>
    <w:rsid w:val="00957DC7"/>
    <w:rsid w:val="00965716"/>
    <w:rsid w:val="0097124F"/>
    <w:rsid w:val="0097159B"/>
    <w:rsid w:val="00971930"/>
    <w:rsid w:val="00976EC4"/>
    <w:rsid w:val="009805B5"/>
    <w:rsid w:val="009837B2"/>
    <w:rsid w:val="009905C3"/>
    <w:rsid w:val="009A074E"/>
    <w:rsid w:val="009A0AF3"/>
    <w:rsid w:val="009B10E2"/>
    <w:rsid w:val="009B2C26"/>
    <w:rsid w:val="009B711D"/>
    <w:rsid w:val="009B7CF9"/>
    <w:rsid w:val="009C344D"/>
    <w:rsid w:val="009C486A"/>
    <w:rsid w:val="009C5D60"/>
    <w:rsid w:val="009C71F3"/>
    <w:rsid w:val="009D3B68"/>
    <w:rsid w:val="009D72FC"/>
    <w:rsid w:val="009D7437"/>
    <w:rsid w:val="009E4C29"/>
    <w:rsid w:val="009F4C5C"/>
    <w:rsid w:val="00A06000"/>
    <w:rsid w:val="00A11088"/>
    <w:rsid w:val="00A11159"/>
    <w:rsid w:val="00A11857"/>
    <w:rsid w:val="00A13649"/>
    <w:rsid w:val="00A171A0"/>
    <w:rsid w:val="00A243EB"/>
    <w:rsid w:val="00A349A5"/>
    <w:rsid w:val="00A44AC3"/>
    <w:rsid w:val="00A60C98"/>
    <w:rsid w:val="00A62F0E"/>
    <w:rsid w:val="00A65E09"/>
    <w:rsid w:val="00A671F1"/>
    <w:rsid w:val="00A67839"/>
    <w:rsid w:val="00A71C27"/>
    <w:rsid w:val="00A73241"/>
    <w:rsid w:val="00A761F3"/>
    <w:rsid w:val="00A831ED"/>
    <w:rsid w:val="00A83E66"/>
    <w:rsid w:val="00A85F54"/>
    <w:rsid w:val="00AA0CE1"/>
    <w:rsid w:val="00AA3DC7"/>
    <w:rsid w:val="00AB2042"/>
    <w:rsid w:val="00AB5166"/>
    <w:rsid w:val="00AC4684"/>
    <w:rsid w:val="00AC77EF"/>
    <w:rsid w:val="00AD7635"/>
    <w:rsid w:val="00AE0665"/>
    <w:rsid w:val="00AE08DC"/>
    <w:rsid w:val="00B01059"/>
    <w:rsid w:val="00B01494"/>
    <w:rsid w:val="00B07094"/>
    <w:rsid w:val="00B1177B"/>
    <w:rsid w:val="00B14579"/>
    <w:rsid w:val="00B21489"/>
    <w:rsid w:val="00B21F03"/>
    <w:rsid w:val="00B22F39"/>
    <w:rsid w:val="00B23580"/>
    <w:rsid w:val="00B25E82"/>
    <w:rsid w:val="00B27530"/>
    <w:rsid w:val="00B30648"/>
    <w:rsid w:val="00B32B4B"/>
    <w:rsid w:val="00B33CE8"/>
    <w:rsid w:val="00B44170"/>
    <w:rsid w:val="00B530BB"/>
    <w:rsid w:val="00B53799"/>
    <w:rsid w:val="00B55FDC"/>
    <w:rsid w:val="00B61F7E"/>
    <w:rsid w:val="00B63E83"/>
    <w:rsid w:val="00B6515A"/>
    <w:rsid w:val="00B65885"/>
    <w:rsid w:val="00B725F6"/>
    <w:rsid w:val="00B87F2A"/>
    <w:rsid w:val="00B90324"/>
    <w:rsid w:val="00B95596"/>
    <w:rsid w:val="00BA39E0"/>
    <w:rsid w:val="00BA46E1"/>
    <w:rsid w:val="00BA719A"/>
    <w:rsid w:val="00BB1B11"/>
    <w:rsid w:val="00BB38CA"/>
    <w:rsid w:val="00BC10E0"/>
    <w:rsid w:val="00BC1A75"/>
    <w:rsid w:val="00BD1553"/>
    <w:rsid w:val="00BE178F"/>
    <w:rsid w:val="00BE511B"/>
    <w:rsid w:val="00BF15DC"/>
    <w:rsid w:val="00BF26EB"/>
    <w:rsid w:val="00BF617B"/>
    <w:rsid w:val="00C02BBE"/>
    <w:rsid w:val="00C042F5"/>
    <w:rsid w:val="00C10503"/>
    <w:rsid w:val="00C135F3"/>
    <w:rsid w:val="00C21876"/>
    <w:rsid w:val="00C23C4F"/>
    <w:rsid w:val="00C24BC9"/>
    <w:rsid w:val="00C25E95"/>
    <w:rsid w:val="00C27735"/>
    <w:rsid w:val="00C42AB3"/>
    <w:rsid w:val="00C47A0E"/>
    <w:rsid w:val="00C50F65"/>
    <w:rsid w:val="00C531C3"/>
    <w:rsid w:val="00C54E7C"/>
    <w:rsid w:val="00C616BF"/>
    <w:rsid w:val="00C64066"/>
    <w:rsid w:val="00C64B7E"/>
    <w:rsid w:val="00C64F43"/>
    <w:rsid w:val="00C74EAD"/>
    <w:rsid w:val="00C81A6E"/>
    <w:rsid w:val="00C91056"/>
    <w:rsid w:val="00CA383A"/>
    <w:rsid w:val="00CA45C1"/>
    <w:rsid w:val="00CB0BAF"/>
    <w:rsid w:val="00CB4630"/>
    <w:rsid w:val="00CC22E4"/>
    <w:rsid w:val="00CC5EA4"/>
    <w:rsid w:val="00CD6BA9"/>
    <w:rsid w:val="00CD755A"/>
    <w:rsid w:val="00CE01E8"/>
    <w:rsid w:val="00CF2C29"/>
    <w:rsid w:val="00CF3457"/>
    <w:rsid w:val="00D03AE1"/>
    <w:rsid w:val="00D12542"/>
    <w:rsid w:val="00D12923"/>
    <w:rsid w:val="00D13795"/>
    <w:rsid w:val="00D13BF5"/>
    <w:rsid w:val="00D204CD"/>
    <w:rsid w:val="00D251D0"/>
    <w:rsid w:val="00D25E77"/>
    <w:rsid w:val="00D404FB"/>
    <w:rsid w:val="00D43B34"/>
    <w:rsid w:val="00D47ADA"/>
    <w:rsid w:val="00D504CA"/>
    <w:rsid w:val="00D51737"/>
    <w:rsid w:val="00D527E9"/>
    <w:rsid w:val="00D63197"/>
    <w:rsid w:val="00D66DE0"/>
    <w:rsid w:val="00D74A4F"/>
    <w:rsid w:val="00D76CB9"/>
    <w:rsid w:val="00D82E6B"/>
    <w:rsid w:val="00D86629"/>
    <w:rsid w:val="00D86FE9"/>
    <w:rsid w:val="00D87946"/>
    <w:rsid w:val="00DB1174"/>
    <w:rsid w:val="00DC347C"/>
    <w:rsid w:val="00DC3752"/>
    <w:rsid w:val="00DC46DD"/>
    <w:rsid w:val="00DC7D56"/>
    <w:rsid w:val="00DD1550"/>
    <w:rsid w:val="00DD40B1"/>
    <w:rsid w:val="00DE341A"/>
    <w:rsid w:val="00DF1910"/>
    <w:rsid w:val="00DF5DDD"/>
    <w:rsid w:val="00E07688"/>
    <w:rsid w:val="00E106B2"/>
    <w:rsid w:val="00E110D5"/>
    <w:rsid w:val="00E143C1"/>
    <w:rsid w:val="00E145C8"/>
    <w:rsid w:val="00E157D6"/>
    <w:rsid w:val="00E202FB"/>
    <w:rsid w:val="00E23B21"/>
    <w:rsid w:val="00E37E50"/>
    <w:rsid w:val="00E4148C"/>
    <w:rsid w:val="00E446AF"/>
    <w:rsid w:val="00E454DA"/>
    <w:rsid w:val="00E472B1"/>
    <w:rsid w:val="00E50F87"/>
    <w:rsid w:val="00E53F44"/>
    <w:rsid w:val="00E60DD8"/>
    <w:rsid w:val="00E65D48"/>
    <w:rsid w:val="00E73900"/>
    <w:rsid w:val="00E83EC2"/>
    <w:rsid w:val="00E84860"/>
    <w:rsid w:val="00E94AED"/>
    <w:rsid w:val="00E97209"/>
    <w:rsid w:val="00EA3CB0"/>
    <w:rsid w:val="00EA40B1"/>
    <w:rsid w:val="00EB4E70"/>
    <w:rsid w:val="00EC10FC"/>
    <w:rsid w:val="00EC28D3"/>
    <w:rsid w:val="00EC2C5A"/>
    <w:rsid w:val="00EC601D"/>
    <w:rsid w:val="00ED3866"/>
    <w:rsid w:val="00ED6BE7"/>
    <w:rsid w:val="00EE0A10"/>
    <w:rsid w:val="00EF1ADB"/>
    <w:rsid w:val="00EF2DF8"/>
    <w:rsid w:val="00EF631D"/>
    <w:rsid w:val="00F0023C"/>
    <w:rsid w:val="00F0219E"/>
    <w:rsid w:val="00F13325"/>
    <w:rsid w:val="00F16504"/>
    <w:rsid w:val="00F17281"/>
    <w:rsid w:val="00F23E98"/>
    <w:rsid w:val="00F2568F"/>
    <w:rsid w:val="00F35164"/>
    <w:rsid w:val="00F36528"/>
    <w:rsid w:val="00F46927"/>
    <w:rsid w:val="00F50467"/>
    <w:rsid w:val="00F50D29"/>
    <w:rsid w:val="00F61BDA"/>
    <w:rsid w:val="00F64770"/>
    <w:rsid w:val="00F66184"/>
    <w:rsid w:val="00F8426F"/>
    <w:rsid w:val="00FA176F"/>
    <w:rsid w:val="00FA68B7"/>
    <w:rsid w:val="00FA693D"/>
    <w:rsid w:val="00FA6CAA"/>
    <w:rsid w:val="00FB6A4D"/>
    <w:rsid w:val="00FD0CA0"/>
    <w:rsid w:val="00FD27E7"/>
    <w:rsid w:val="00FD62CC"/>
    <w:rsid w:val="00FD7910"/>
    <w:rsid w:val="00FE518F"/>
    <w:rsid w:val="00FF06A9"/>
    <w:rsid w:val="00FF2911"/>
    <w:rsid w:val="00FF4A48"/>
    <w:rsid w:val="00FF5C60"/>
    <w:rsid w:val="00FF6F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12AC4C"/>
  <w15:docId w15:val="{75AEE61A-00B5-4BD8-BCBB-9ADEA3B4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3F44"/>
    <w:rPr>
      <w:rFonts w:ascii="Arial" w:hAnsi="Arial"/>
      <w:szCs w:val="24"/>
    </w:rPr>
  </w:style>
  <w:style w:type="paragraph" w:styleId="Kop1">
    <w:name w:val="heading 1"/>
    <w:basedOn w:val="Standaard"/>
    <w:next w:val="Standaard"/>
    <w:link w:val="Kop1Char"/>
    <w:qFormat/>
    <w:rsid w:val="003445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414A"/>
    <w:pPr>
      <w:tabs>
        <w:tab w:val="center" w:pos="4536"/>
        <w:tab w:val="right" w:pos="9072"/>
      </w:tabs>
    </w:pPr>
  </w:style>
  <w:style w:type="paragraph" w:styleId="Voettekst">
    <w:name w:val="footer"/>
    <w:basedOn w:val="Standaard"/>
    <w:rsid w:val="00394465"/>
    <w:pPr>
      <w:tabs>
        <w:tab w:val="center" w:pos="4536"/>
        <w:tab w:val="right" w:pos="9072"/>
      </w:tabs>
    </w:pPr>
    <w:rPr>
      <w:i/>
      <w:sz w:val="16"/>
    </w:rPr>
  </w:style>
  <w:style w:type="paragraph" w:styleId="Lijstalinea">
    <w:name w:val="List Paragraph"/>
    <w:basedOn w:val="Standaard"/>
    <w:uiPriority w:val="34"/>
    <w:qFormat/>
    <w:rsid w:val="009905C3"/>
    <w:pPr>
      <w:ind w:left="720"/>
      <w:contextualSpacing/>
    </w:pPr>
  </w:style>
  <w:style w:type="character" w:customStyle="1" w:styleId="Kop1Char">
    <w:name w:val="Kop 1 Char"/>
    <w:basedOn w:val="Standaardalinea-lettertype"/>
    <w:link w:val="Kop1"/>
    <w:rsid w:val="00344585"/>
    <w:rPr>
      <w:rFonts w:asciiTheme="majorHAnsi" w:eastAsiaTheme="majorEastAsia" w:hAnsiTheme="majorHAnsi" w:cstheme="majorBidi"/>
      <w:b/>
      <w:bCs/>
      <w:color w:val="365F91" w:themeColor="accent1" w:themeShade="BF"/>
      <w:sz w:val="28"/>
      <w:szCs w:val="28"/>
    </w:rPr>
  </w:style>
  <w:style w:type="character" w:styleId="Verwijzingopmerking">
    <w:name w:val="annotation reference"/>
    <w:basedOn w:val="Standaardalinea-lettertype"/>
    <w:rsid w:val="00BA46E1"/>
    <w:rPr>
      <w:sz w:val="16"/>
      <w:szCs w:val="16"/>
    </w:rPr>
  </w:style>
  <w:style w:type="paragraph" w:styleId="Tekstopmerking">
    <w:name w:val="annotation text"/>
    <w:basedOn w:val="Standaard"/>
    <w:link w:val="TekstopmerkingChar"/>
    <w:rsid w:val="00BA46E1"/>
    <w:rPr>
      <w:szCs w:val="20"/>
    </w:rPr>
  </w:style>
  <w:style w:type="character" w:customStyle="1" w:styleId="TekstopmerkingChar">
    <w:name w:val="Tekst opmerking Char"/>
    <w:basedOn w:val="Standaardalinea-lettertype"/>
    <w:link w:val="Tekstopmerking"/>
    <w:rsid w:val="00BA46E1"/>
    <w:rPr>
      <w:rFonts w:ascii="Arial" w:hAnsi="Arial"/>
    </w:rPr>
  </w:style>
  <w:style w:type="paragraph" w:styleId="Onderwerpvanopmerking">
    <w:name w:val="annotation subject"/>
    <w:basedOn w:val="Tekstopmerking"/>
    <w:next w:val="Tekstopmerking"/>
    <w:link w:val="OnderwerpvanopmerkingChar"/>
    <w:rsid w:val="00BA46E1"/>
    <w:rPr>
      <w:b/>
      <w:bCs/>
    </w:rPr>
  </w:style>
  <w:style w:type="character" w:customStyle="1" w:styleId="OnderwerpvanopmerkingChar">
    <w:name w:val="Onderwerp van opmerking Char"/>
    <w:basedOn w:val="TekstopmerkingChar"/>
    <w:link w:val="Onderwerpvanopmerking"/>
    <w:rsid w:val="00BA46E1"/>
    <w:rPr>
      <w:rFonts w:ascii="Arial" w:hAnsi="Arial"/>
      <w:b/>
      <w:bCs/>
    </w:rPr>
  </w:style>
  <w:style w:type="paragraph" w:styleId="Ballontekst">
    <w:name w:val="Balloon Text"/>
    <w:basedOn w:val="Standaard"/>
    <w:link w:val="BallontekstChar"/>
    <w:rsid w:val="00BA46E1"/>
    <w:rPr>
      <w:rFonts w:ascii="Tahoma" w:hAnsi="Tahoma" w:cs="Tahoma"/>
      <w:sz w:val="16"/>
      <w:szCs w:val="16"/>
    </w:rPr>
  </w:style>
  <w:style w:type="character" w:customStyle="1" w:styleId="BallontekstChar">
    <w:name w:val="Ballontekst Char"/>
    <w:basedOn w:val="Standaardalinea-lettertype"/>
    <w:link w:val="Ballontekst"/>
    <w:rsid w:val="00BA46E1"/>
    <w:rPr>
      <w:rFonts w:ascii="Tahoma" w:hAnsi="Tahoma" w:cs="Tahoma"/>
      <w:sz w:val="16"/>
      <w:szCs w:val="16"/>
    </w:rPr>
  </w:style>
  <w:style w:type="paragraph" w:styleId="Normaalweb">
    <w:name w:val="Normal (Web)"/>
    <w:basedOn w:val="Standaard"/>
    <w:uiPriority w:val="99"/>
    <w:unhideWhenUsed/>
    <w:rsid w:val="001F60CE"/>
    <w:pPr>
      <w:spacing w:before="100" w:beforeAutospacing="1" w:after="100" w:afterAutospacing="1"/>
    </w:pPr>
    <w:rPr>
      <w:rFonts w:ascii="Times New Roman" w:hAnsi="Times New Roman"/>
      <w:sz w:val="24"/>
    </w:rPr>
  </w:style>
  <w:style w:type="paragraph" w:customStyle="1" w:styleId="Default">
    <w:name w:val="Default"/>
    <w:rsid w:val="00503E78"/>
    <w:pPr>
      <w:autoSpaceDE w:val="0"/>
      <w:autoSpaceDN w:val="0"/>
      <w:adjustRightInd w:val="0"/>
    </w:pPr>
    <w:rPr>
      <w:rFonts w:ascii="Arial" w:hAnsi="Arial" w:cs="Arial"/>
      <w:color w:val="000000"/>
      <w:sz w:val="24"/>
      <w:szCs w:val="24"/>
    </w:rPr>
  </w:style>
  <w:style w:type="character" w:customStyle="1" w:styleId="A1">
    <w:name w:val="A1"/>
    <w:uiPriority w:val="99"/>
    <w:rsid w:val="00814851"/>
    <w:rPr>
      <w:rFonts w:cs="DRIWF P+ Scala Sans"/>
      <w:i/>
      <w:iCs/>
      <w:color w:val="000000"/>
      <w:sz w:val="16"/>
      <w:szCs w:val="16"/>
    </w:rPr>
  </w:style>
  <w:style w:type="character" w:styleId="Hyperlink">
    <w:name w:val="Hyperlink"/>
    <w:basedOn w:val="Standaardalinea-lettertype"/>
    <w:unhideWhenUsed/>
    <w:rsid w:val="004A25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0365">
      <w:bodyDiv w:val="1"/>
      <w:marLeft w:val="0"/>
      <w:marRight w:val="0"/>
      <w:marTop w:val="0"/>
      <w:marBottom w:val="0"/>
      <w:divBdr>
        <w:top w:val="none" w:sz="0" w:space="0" w:color="auto"/>
        <w:left w:val="none" w:sz="0" w:space="0" w:color="auto"/>
        <w:bottom w:val="none" w:sz="0" w:space="0" w:color="auto"/>
        <w:right w:val="none" w:sz="0" w:space="0" w:color="auto"/>
      </w:divBdr>
    </w:div>
    <w:div w:id="80686355">
      <w:bodyDiv w:val="1"/>
      <w:marLeft w:val="0"/>
      <w:marRight w:val="0"/>
      <w:marTop w:val="0"/>
      <w:marBottom w:val="0"/>
      <w:divBdr>
        <w:top w:val="none" w:sz="0" w:space="0" w:color="auto"/>
        <w:left w:val="none" w:sz="0" w:space="0" w:color="auto"/>
        <w:bottom w:val="none" w:sz="0" w:space="0" w:color="auto"/>
        <w:right w:val="none" w:sz="0" w:space="0" w:color="auto"/>
      </w:divBdr>
    </w:div>
    <w:div w:id="90517727">
      <w:bodyDiv w:val="1"/>
      <w:marLeft w:val="0"/>
      <w:marRight w:val="0"/>
      <w:marTop w:val="0"/>
      <w:marBottom w:val="0"/>
      <w:divBdr>
        <w:top w:val="none" w:sz="0" w:space="0" w:color="auto"/>
        <w:left w:val="none" w:sz="0" w:space="0" w:color="auto"/>
        <w:bottom w:val="none" w:sz="0" w:space="0" w:color="auto"/>
        <w:right w:val="none" w:sz="0" w:space="0" w:color="auto"/>
      </w:divBdr>
    </w:div>
    <w:div w:id="286275035">
      <w:bodyDiv w:val="1"/>
      <w:marLeft w:val="0"/>
      <w:marRight w:val="0"/>
      <w:marTop w:val="0"/>
      <w:marBottom w:val="0"/>
      <w:divBdr>
        <w:top w:val="none" w:sz="0" w:space="0" w:color="auto"/>
        <w:left w:val="none" w:sz="0" w:space="0" w:color="auto"/>
        <w:bottom w:val="none" w:sz="0" w:space="0" w:color="auto"/>
        <w:right w:val="none" w:sz="0" w:space="0" w:color="auto"/>
      </w:divBdr>
      <w:divsChild>
        <w:div w:id="110589730">
          <w:marLeft w:val="547"/>
          <w:marRight w:val="0"/>
          <w:marTop w:val="50"/>
          <w:marBottom w:val="0"/>
          <w:divBdr>
            <w:top w:val="none" w:sz="0" w:space="0" w:color="auto"/>
            <w:left w:val="none" w:sz="0" w:space="0" w:color="auto"/>
            <w:bottom w:val="none" w:sz="0" w:space="0" w:color="auto"/>
            <w:right w:val="none" w:sz="0" w:space="0" w:color="auto"/>
          </w:divBdr>
        </w:div>
      </w:divsChild>
    </w:div>
    <w:div w:id="418403060">
      <w:bodyDiv w:val="1"/>
      <w:marLeft w:val="0"/>
      <w:marRight w:val="0"/>
      <w:marTop w:val="0"/>
      <w:marBottom w:val="0"/>
      <w:divBdr>
        <w:top w:val="none" w:sz="0" w:space="0" w:color="auto"/>
        <w:left w:val="none" w:sz="0" w:space="0" w:color="auto"/>
        <w:bottom w:val="none" w:sz="0" w:space="0" w:color="auto"/>
        <w:right w:val="none" w:sz="0" w:space="0" w:color="auto"/>
      </w:divBdr>
    </w:div>
    <w:div w:id="462581593">
      <w:bodyDiv w:val="1"/>
      <w:marLeft w:val="0"/>
      <w:marRight w:val="0"/>
      <w:marTop w:val="0"/>
      <w:marBottom w:val="0"/>
      <w:divBdr>
        <w:top w:val="none" w:sz="0" w:space="0" w:color="auto"/>
        <w:left w:val="none" w:sz="0" w:space="0" w:color="auto"/>
        <w:bottom w:val="none" w:sz="0" w:space="0" w:color="auto"/>
        <w:right w:val="none" w:sz="0" w:space="0" w:color="auto"/>
      </w:divBdr>
    </w:div>
    <w:div w:id="530609456">
      <w:bodyDiv w:val="1"/>
      <w:marLeft w:val="0"/>
      <w:marRight w:val="0"/>
      <w:marTop w:val="0"/>
      <w:marBottom w:val="0"/>
      <w:divBdr>
        <w:top w:val="none" w:sz="0" w:space="0" w:color="auto"/>
        <w:left w:val="none" w:sz="0" w:space="0" w:color="auto"/>
        <w:bottom w:val="none" w:sz="0" w:space="0" w:color="auto"/>
        <w:right w:val="none" w:sz="0" w:space="0" w:color="auto"/>
      </w:divBdr>
    </w:div>
    <w:div w:id="581304981">
      <w:bodyDiv w:val="1"/>
      <w:marLeft w:val="0"/>
      <w:marRight w:val="0"/>
      <w:marTop w:val="0"/>
      <w:marBottom w:val="0"/>
      <w:divBdr>
        <w:top w:val="none" w:sz="0" w:space="0" w:color="auto"/>
        <w:left w:val="none" w:sz="0" w:space="0" w:color="auto"/>
        <w:bottom w:val="none" w:sz="0" w:space="0" w:color="auto"/>
        <w:right w:val="none" w:sz="0" w:space="0" w:color="auto"/>
      </w:divBdr>
    </w:div>
    <w:div w:id="790713042">
      <w:bodyDiv w:val="1"/>
      <w:marLeft w:val="0"/>
      <w:marRight w:val="0"/>
      <w:marTop w:val="0"/>
      <w:marBottom w:val="0"/>
      <w:divBdr>
        <w:top w:val="none" w:sz="0" w:space="0" w:color="auto"/>
        <w:left w:val="none" w:sz="0" w:space="0" w:color="auto"/>
        <w:bottom w:val="none" w:sz="0" w:space="0" w:color="auto"/>
        <w:right w:val="none" w:sz="0" w:space="0" w:color="auto"/>
      </w:divBdr>
    </w:div>
    <w:div w:id="925771188">
      <w:bodyDiv w:val="1"/>
      <w:marLeft w:val="0"/>
      <w:marRight w:val="0"/>
      <w:marTop w:val="0"/>
      <w:marBottom w:val="0"/>
      <w:divBdr>
        <w:top w:val="none" w:sz="0" w:space="0" w:color="auto"/>
        <w:left w:val="none" w:sz="0" w:space="0" w:color="auto"/>
        <w:bottom w:val="none" w:sz="0" w:space="0" w:color="auto"/>
        <w:right w:val="none" w:sz="0" w:space="0" w:color="auto"/>
      </w:divBdr>
    </w:div>
    <w:div w:id="973406495">
      <w:bodyDiv w:val="1"/>
      <w:marLeft w:val="0"/>
      <w:marRight w:val="0"/>
      <w:marTop w:val="0"/>
      <w:marBottom w:val="0"/>
      <w:divBdr>
        <w:top w:val="none" w:sz="0" w:space="0" w:color="auto"/>
        <w:left w:val="none" w:sz="0" w:space="0" w:color="auto"/>
        <w:bottom w:val="none" w:sz="0" w:space="0" w:color="auto"/>
        <w:right w:val="none" w:sz="0" w:space="0" w:color="auto"/>
      </w:divBdr>
      <w:divsChild>
        <w:div w:id="160854189">
          <w:marLeft w:val="1440"/>
          <w:marRight w:val="0"/>
          <w:marTop w:val="132"/>
          <w:marBottom w:val="0"/>
          <w:divBdr>
            <w:top w:val="none" w:sz="0" w:space="0" w:color="auto"/>
            <w:left w:val="none" w:sz="0" w:space="0" w:color="auto"/>
            <w:bottom w:val="none" w:sz="0" w:space="0" w:color="auto"/>
            <w:right w:val="none" w:sz="0" w:space="0" w:color="auto"/>
          </w:divBdr>
        </w:div>
      </w:divsChild>
    </w:div>
    <w:div w:id="1087531781">
      <w:bodyDiv w:val="1"/>
      <w:marLeft w:val="0"/>
      <w:marRight w:val="0"/>
      <w:marTop w:val="0"/>
      <w:marBottom w:val="0"/>
      <w:divBdr>
        <w:top w:val="none" w:sz="0" w:space="0" w:color="auto"/>
        <w:left w:val="none" w:sz="0" w:space="0" w:color="auto"/>
        <w:bottom w:val="none" w:sz="0" w:space="0" w:color="auto"/>
        <w:right w:val="none" w:sz="0" w:space="0" w:color="auto"/>
      </w:divBdr>
    </w:div>
    <w:div w:id="1108310879">
      <w:bodyDiv w:val="1"/>
      <w:marLeft w:val="0"/>
      <w:marRight w:val="0"/>
      <w:marTop w:val="0"/>
      <w:marBottom w:val="0"/>
      <w:divBdr>
        <w:top w:val="none" w:sz="0" w:space="0" w:color="auto"/>
        <w:left w:val="none" w:sz="0" w:space="0" w:color="auto"/>
        <w:bottom w:val="none" w:sz="0" w:space="0" w:color="auto"/>
        <w:right w:val="none" w:sz="0" w:space="0" w:color="auto"/>
      </w:divBdr>
    </w:div>
    <w:div w:id="1225262229">
      <w:bodyDiv w:val="1"/>
      <w:marLeft w:val="0"/>
      <w:marRight w:val="0"/>
      <w:marTop w:val="0"/>
      <w:marBottom w:val="0"/>
      <w:divBdr>
        <w:top w:val="none" w:sz="0" w:space="0" w:color="auto"/>
        <w:left w:val="none" w:sz="0" w:space="0" w:color="auto"/>
        <w:bottom w:val="none" w:sz="0" w:space="0" w:color="auto"/>
        <w:right w:val="none" w:sz="0" w:space="0" w:color="auto"/>
      </w:divBdr>
    </w:div>
    <w:div w:id="1291329158">
      <w:bodyDiv w:val="1"/>
      <w:marLeft w:val="0"/>
      <w:marRight w:val="0"/>
      <w:marTop w:val="0"/>
      <w:marBottom w:val="0"/>
      <w:divBdr>
        <w:top w:val="none" w:sz="0" w:space="0" w:color="auto"/>
        <w:left w:val="none" w:sz="0" w:space="0" w:color="auto"/>
        <w:bottom w:val="none" w:sz="0" w:space="0" w:color="auto"/>
        <w:right w:val="none" w:sz="0" w:space="0" w:color="auto"/>
      </w:divBdr>
    </w:div>
    <w:div w:id="1305551172">
      <w:bodyDiv w:val="1"/>
      <w:marLeft w:val="0"/>
      <w:marRight w:val="0"/>
      <w:marTop w:val="0"/>
      <w:marBottom w:val="0"/>
      <w:divBdr>
        <w:top w:val="none" w:sz="0" w:space="0" w:color="auto"/>
        <w:left w:val="none" w:sz="0" w:space="0" w:color="auto"/>
        <w:bottom w:val="none" w:sz="0" w:space="0" w:color="auto"/>
        <w:right w:val="none" w:sz="0" w:space="0" w:color="auto"/>
      </w:divBdr>
    </w:div>
    <w:div w:id="1333222023">
      <w:bodyDiv w:val="1"/>
      <w:marLeft w:val="0"/>
      <w:marRight w:val="0"/>
      <w:marTop w:val="0"/>
      <w:marBottom w:val="0"/>
      <w:divBdr>
        <w:top w:val="none" w:sz="0" w:space="0" w:color="auto"/>
        <w:left w:val="none" w:sz="0" w:space="0" w:color="auto"/>
        <w:bottom w:val="none" w:sz="0" w:space="0" w:color="auto"/>
        <w:right w:val="none" w:sz="0" w:space="0" w:color="auto"/>
      </w:divBdr>
    </w:div>
    <w:div w:id="1368875890">
      <w:bodyDiv w:val="1"/>
      <w:marLeft w:val="0"/>
      <w:marRight w:val="0"/>
      <w:marTop w:val="0"/>
      <w:marBottom w:val="0"/>
      <w:divBdr>
        <w:top w:val="none" w:sz="0" w:space="0" w:color="auto"/>
        <w:left w:val="none" w:sz="0" w:space="0" w:color="auto"/>
        <w:bottom w:val="none" w:sz="0" w:space="0" w:color="auto"/>
        <w:right w:val="none" w:sz="0" w:space="0" w:color="auto"/>
      </w:divBdr>
    </w:div>
    <w:div w:id="1413620597">
      <w:bodyDiv w:val="1"/>
      <w:marLeft w:val="0"/>
      <w:marRight w:val="0"/>
      <w:marTop w:val="0"/>
      <w:marBottom w:val="0"/>
      <w:divBdr>
        <w:top w:val="none" w:sz="0" w:space="0" w:color="auto"/>
        <w:left w:val="none" w:sz="0" w:space="0" w:color="auto"/>
        <w:bottom w:val="none" w:sz="0" w:space="0" w:color="auto"/>
        <w:right w:val="none" w:sz="0" w:space="0" w:color="auto"/>
      </w:divBdr>
    </w:div>
    <w:div w:id="1544562130">
      <w:bodyDiv w:val="1"/>
      <w:marLeft w:val="0"/>
      <w:marRight w:val="0"/>
      <w:marTop w:val="0"/>
      <w:marBottom w:val="0"/>
      <w:divBdr>
        <w:top w:val="none" w:sz="0" w:space="0" w:color="auto"/>
        <w:left w:val="none" w:sz="0" w:space="0" w:color="auto"/>
        <w:bottom w:val="none" w:sz="0" w:space="0" w:color="auto"/>
        <w:right w:val="none" w:sz="0" w:space="0" w:color="auto"/>
      </w:divBdr>
      <w:divsChild>
        <w:div w:id="1588997212">
          <w:marLeft w:val="1440"/>
          <w:marRight w:val="0"/>
          <w:marTop w:val="132"/>
          <w:marBottom w:val="0"/>
          <w:divBdr>
            <w:top w:val="none" w:sz="0" w:space="0" w:color="auto"/>
            <w:left w:val="none" w:sz="0" w:space="0" w:color="auto"/>
            <w:bottom w:val="none" w:sz="0" w:space="0" w:color="auto"/>
            <w:right w:val="none" w:sz="0" w:space="0" w:color="auto"/>
          </w:divBdr>
        </w:div>
      </w:divsChild>
    </w:div>
    <w:div w:id="1602755743">
      <w:bodyDiv w:val="1"/>
      <w:marLeft w:val="0"/>
      <w:marRight w:val="0"/>
      <w:marTop w:val="0"/>
      <w:marBottom w:val="0"/>
      <w:divBdr>
        <w:top w:val="none" w:sz="0" w:space="0" w:color="auto"/>
        <w:left w:val="none" w:sz="0" w:space="0" w:color="auto"/>
        <w:bottom w:val="none" w:sz="0" w:space="0" w:color="auto"/>
        <w:right w:val="none" w:sz="0" w:space="0" w:color="auto"/>
      </w:divBdr>
    </w:div>
    <w:div w:id="1607469113">
      <w:bodyDiv w:val="1"/>
      <w:marLeft w:val="0"/>
      <w:marRight w:val="0"/>
      <w:marTop w:val="0"/>
      <w:marBottom w:val="0"/>
      <w:divBdr>
        <w:top w:val="none" w:sz="0" w:space="0" w:color="auto"/>
        <w:left w:val="none" w:sz="0" w:space="0" w:color="auto"/>
        <w:bottom w:val="none" w:sz="0" w:space="0" w:color="auto"/>
        <w:right w:val="none" w:sz="0" w:space="0" w:color="auto"/>
      </w:divBdr>
    </w:div>
    <w:div w:id="1630355511">
      <w:bodyDiv w:val="1"/>
      <w:marLeft w:val="0"/>
      <w:marRight w:val="0"/>
      <w:marTop w:val="0"/>
      <w:marBottom w:val="0"/>
      <w:divBdr>
        <w:top w:val="none" w:sz="0" w:space="0" w:color="auto"/>
        <w:left w:val="none" w:sz="0" w:space="0" w:color="auto"/>
        <w:bottom w:val="none" w:sz="0" w:space="0" w:color="auto"/>
        <w:right w:val="none" w:sz="0" w:space="0" w:color="auto"/>
      </w:divBdr>
      <w:divsChild>
        <w:div w:id="759108968">
          <w:marLeft w:val="547"/>
          <w:marRight w:val="0"/>
          <w:marTop w:val="53"/>
          <w:marBottom w:val="0"/>
          <w:divBdr>
            <w:top w:val="none" w:sz="0" w:space="0" w:color="auto"/>
            <w:left w:val="none" w:sz="0" w:space="0" w:color="auto"/>
            <w:bottom w:val="none" w:sz="0" w:space="0" w:color="auto"/>
            <w:right w:val="none" w:sz="0" w:space="0" w:color="auto"/>
          </w:divBdr>
        </w:div>
        <w:div w:id="645860409">
          <w:marLeft w:val="547"/>
          <w:marRight w:val="0"/>
          <w:marTop w:val="53"/>
          <w:marBottom w:val="0"/>
          <w:divBdr>
            <w:top w:val="none" w:sz="0" w:space="0" w:color="auto"/>
            <w:left w:val="none" w:sz="0" w:space="0" w:color="auto"/>
            <w:bottom w:val="none" w:sz="0" w:space="0" w:color="auto"/>
            <w:right w:val="none" w:sz="0" w:space="0" w:color="auto"/>
          </w:divBdr>
        </w:div>
      </w:divsChild>
    </w:div>
    <w:div w:id="1725524347">
      <w:bodyDiv w:val="1"/>
      <w:marLeft w:val="0"/>
      <w:marRight w:val="0"/>
      <w:marTop w:val="0"/>
      <w:marBottom w:val="0"/>
      <w:divBdr>
        <w:top w:val="none" w:sz="0" w:space="0" w:color="auto"/>
        <w:left w:val="none" w:sz="0" w:space="0" w:color="auto"/>
        <w:bottom w:val="none" w:sz="0" w:space="0" w:color="auto"/>
        <w:right w:val="none" w:sz="0" w:space="0" w:color="auto"/>
      </w:divBdr>
    </w:div>
    <w:div w:id="1784032953">
      <w:bodyDiv w:val="1"/>
      <w:marLeft w:val="0"/>
      <w:marRight w:val="0"/>
      <w:marTop w:val="0"/>
      <w:marBottom w:val="0"/>
      <w:divBdr>
        <w:top w:val="none" w:sz="0" w:space="0" w:color="auto"/>
        <w:left w:val="none" w:sz="0" w:space="0" w:color="auto"/>
        <w:bottom w:val="none" w:sz="0" w:space="0" w:color="auto"/>
        <w:right w:val="none" w:sz="0" w:space="0" w:color="auto"/>
      </w:divBdr>
    </w:div>
    <w:div w:id="1868902976">
      <w:bodyDiv w:val="1"/>
      <w:marLeft w:val="0"/>
      <w:marRight w:val="0"/>
      <w:marTop w:val="0"/>
      <w:marBottom w:val="0"/>
      <w:divBdr>
        <w:top w:val="none" w:sz="0" w:space="0" w:color="auto"/>
        <w:left w:val="none" w:sz="0" w:space="0" w:color="auto"/>
        <w:bottom w:val="none" w:sz="0" w:space="0" w:color="auto"/>
        <w:right w:val="none" w:sz="0" w:space="0" w:color="auto"/>
      </w:divBdr>
    </w:div>
    <w:div w:id="1911769288">
      <w:bodyDiv w:val="1"/>
      <w:marLeft w:val="0"/>
      <w:marRight w:val="0"/>
      <w:marTop w:val="0"/>
      <w:marBottom w:val="0"/>
      <w:divBdr>
        <w:top w:val="none" w:sz="0" w:space="0" w:color="auto"/>
        <w:left w:val="none" w:sz="0" w:space="0" w:color="auto"/>
        <w:bottom w:val="none" w:sz="0" w:space="0" w:color="auto"/>
        <w:right w:val="none" w:sz="0" w:space="0" w:color="auto"/>
      </w:divBdr>
      <w:divsChild>
        <w:div w:id="640353316">
          <w:marLeft w:val="1440"/>
          <w:marRight w:val="0"/>
          <w:marTop w:val="132"/>
          <w:marBottom w:val="0"/>
          <w:divBdr>
            <w:top w:val="none" w:sz="0" w:space="0" w:color="auto"/>
            <w:left w:val="none" w:sz="0" w:space="0" w:color="auto"/>
            <w:bottom w:val="none" w:sz="0" w:space="0" w:color="auto"/>
            <w:right w:val="none" w:sz="0" w:space="0" w:color="auto"/>
          </w:divBdr>
        </w:div>
      </w:divsChild>
    </w:div>
    <w:div w:id="2025864351">
      <w:bodyDiv w:val="1"/>
      <w:marLeft w:val="0"/>
      <w:marRight w:val="0"/>
      <w:marTop w:val="0"/>
      <w:marBottom w:val="0"/>
      <w:divBdr>
        <w:top w:val="none" w:sz="0" w:space="0" w:color="auto"/>
        <w:left w:val="none" w:sz="0" w:space="0" w:color="auto"/>
        <w:bottom w:val="none" w:sz="0" w:space="0" w:color="auto"/>
        <w:right w:val="none" w:sz="0" w:space="0" w:color="auto"/>
      </w:divBdr>
    </w:div>
    <w:div w:id="205010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1.png@01D26695.C5430630" TargetMode="External"/><Relationship Id="rId14"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3B3568FD19A49AA19CACBF0C537E3" ma:contentTypeVersion="12" ma:contentTypeDescription="Create a new document." ma:contentTypeScope="" ma:versionID="51b40ba59d3f6c19a49f331c424fa18c">
  <xsd:schema xmlns:xsd="http://www.w3.org/2001/XMLSchema" xmlns:xs="http://www.w3.org/2001/XMLSchema" xmlns:p="http://schemas.microsoft.com/office/2006/metadata/properties" xmlns:ns2="55342f0c-fc7f-4c26-bccd-14084ec9acdd" xmlns:ns3="4a4136f9-7359-4e7b-920b-7387ba8e0228" targetNamespace="http://schemas.microsoft.com/office/2006/metadata/properties" ma:root="true" ma:fieldsID="7d0a0a408893182da7e723dc16d79ea2" ns2:_="" ns3:_="">
    <xsd:import namespace="55342f0c-fc7f-4c26-bccd-14084ec9acdd"/>
    <xsd:import namespace="4a4136f9-7359-4e7b-920b-7387ba8e0228"/>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2f0c-fc7f-4c26-bccd-14084ec9acdd" elementFormDefault="qualified">
    <xsd:import namespace="http://schemas.microsoft.com/office/2006/documentManagement/types"/>
    <xsd:import namespace="http://schemas.microsoft.com/office/infopath/2007/PartnerControls"/>
    <xsd:element name="TaxKeywordTaxHTField" ma:index="5" nillable="true" ma:taxonomy="true" ma:internalName="TaxKeywordTaxHTField" ma:taxonomyFieldName="TaxKeyword" ma:displayName="Ondernemingstrefwoorden" ma:fieldId="{23f27201-bee3-471e-b2e7-b64fd8b7ca38}" ma:taxonomyMulti="true" ma:sspId="4935aa56-952c-41d2-951e-d5c424ab7645" ma:termSetId="00000000-0000-0000-0000-000000000000" ma:anchorId="00000000-0000-0000-0000-000000000000" ma:open="true" ma:isKeyword="true">
      <xsd:complexType>
        <xsd:sequence>
          <xsd:element ref="pc:Terms" minOccurs="0" maxOccurs="1"/>
        </xsd:sequence>
      </xsd:complexType>
    </xsd:element>
    <xsd:element name="TaxCatchAll" ma:index="6" nillable="true" ma:displayName="Taxonomy Catch All Column" ma:hidden="true" ma:list="{ed5509e5-acb8-4171-b449-1d47f3b3e1a4}" ma:internalName="TaxCatchAll" ma:showField="CatchAllData" ma:web="55342f0c-fc7f-4c26-bccd-14084ec9acd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4136f9-7359-4e7b-920b-7387ba8e02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55342f0c-fc7f-4c26-bccd-14084ec9acdd">
      <Terms xmlns="http://schemas.microsoft.com/office/infopath/2007/PartnerControls"/>
    </TaxKeywordTaxHTField>
    <TaxCatchAll xmlns="55342f0c-fc7f-4c26-bccd-14084ec9acdd"/>
  </documentManagement>
</p:properties>
</file>

<file path=customXml/itemProps1.xml><?xml version="1.0" encoding="utf-8"?>
<ds:datastoreItem xmlns:ds="http://schemas.openxmlformats.org/officeDocument/2006/customXml" ds:itemID="{C811B180-A4CF-4B3F-82C7-C7F425EF01DE}"/>
</file>

<file path=customXml/itemProps2.xml><?xml version="1.0" encoding="utf-8"?>
<ds:datastoreItem xmlns:ds="http://schemas.openxmlformats.org/officeDocument/2006/customXml" ds:itemID="{99F22BE5-FF34-402A-933F-FBE925D08A86}"/>
</file>

<file path=customXml/itemProps3.xml><?xml version="1.0" encoding="utf-8"?>
<ds:datastoreItem xmlns:ds="http://schemas.openxmlformats.org/officeDocument/2006/customXml" ds:itemID="{FBF18855-AD61-4A16-A4C0-BA5F07C61B60}"/>
</file>

<file path=docProps/app.xml><?xml version="1.0" encoding="utf-8"?>
<Properties xmlns="http://schemas.openxmlformats.org/officeDocument/2006/extended-properties" xmlns:vt="http://schemas.openxmlformats.org/officeDocument/2006/docPropsVTypes">
  <Template>Normal</Template>
  <TotalTime>35</TotalTime>
  <Pages>6</Pages>
  <Words>1019</Words>
  <Characters>6374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ASP4all Hosting B.V.</Company>
  <LinksUpToDate>false</LinksUpToDate>
  <CharactersWithSpaces>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Kiewiet</dc:creator>
  <cp:lastModifiedBy>Anna Wamsteeker</cp:lastModifiedBy>
  <cp:revision>12</cp:revision>
  <cp:lastPrinted>2017-01-11T15:06:00Z</cp:lastPrinted>
  <dcterms:created xsi:type="dcterms:W3CDTF">2017-01-11T14:04:00Z</dcterms:created>
  <dcterms:modified xsi:type="dcterms:W3CDTF">2017-01-17T09:30:00Z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0x010100C523B3568FD19A49AA19CACBF0C537E3</vt:lpwstr>
  </property>
  <property fmtid="{D5CDD505-2E9C-101B-9397-08002B2CF9AE}" pid="3" name="Order">
    <vt:r8>100</vt:r8>
  </property>
  <property fmtid="{D5CDD505-2E9C-101B-9397-08002B2CF9AE}" pid="4" name="TaxKeyword">
    <vt:lpwstr/>
  </property>
</Properties>
</file>